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o10modulistica"/>
        <w:rPr>
          <w:rFonts w:ascii="Times New Roman" w:hAnsi="Times New Roman"/>
          <w:sz w:val="24"/>
          <w:szCs w:val="24"/>
        </w:rPr>
      </w:pPr>
      <w:r>
        <w:rPr>
          <w:rFonts w:ascii="Times New Roman" w:hAnsi="Times New Roman"/>
          <w:sz w:val="24"/>
          <w:szCs w:val="24"/>
        </w:rPr>
      </w:r>
    </w:p>
    <w:p>
      <w:pPr>
        <w:pStyle w:val="Heading2"/>
        <w:spacing w:lineRule="auto" w:line="276" w:before="44" w:after="0"/>
        <w:ind w:left="277" w:right="1355" w:hanging="0"/>
        <w:jc w:val="both"/>
        <w:rPr>
          <w:rFonts w:ascii="Times New Roman" w:hAnsi="Times New Roman" w:cs="Times New Roman"/>
          <w:sz w:val="24"/>
          <w:szCs w:val="24"/>
        </w:rPr>
      </w:pPr>
      <w:r>
        <w:rPr>
          <w:rFonts w:cs="Times New Roman" w:ascii="Times New Roman" w:hAnsi="Times New Roman"/>
          <w:sz w:val="24"/>
          <w:szCs w:val="24"/>
        </w:rPr>
      </w:r>
    </w:p>
    <w:p>
      <w:pPr>
        <w:pStyle w:val="Heading2"/>
        <w:spacing w:lineRule="auto" w:line="276" w:before="44" w:after="0"/>
        <w:ind w:left="277" w:right="1355" w:hanging="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ind w:left="426" w:right="332" w:hanging="0"/>
        <w:jc w:val="both"/>
        <w:rPr>
          <w:rFonts w:ascii="Times New Roman" w:hAnsi="Times New Roman"/>
          <w:sz w:val="24"/>
          <w:szCs w:val="24"/>
        </w:rPr>
      </w:pPr>
      <w:r>
        <w:rPr>
          <w:rFonts w:cs="Times New Roman" w:ascii="Times New Roman" w:hAnsi="Times New Roman"/>
          <w:b/>
          <w:sz w:val="24"/>
          <w:szCs w:val="24"/>
        </w:rPr>
        <w:t>PROCEDURA</w:t>
      </w:r>
      <w:r>
        <w:rPr>
          <w:rFonts w:cs="Times New Roman" w:ascii="Times New Roman" w:hAnsi="Times New Roman"/>
          <w:b/>
          <w:spacing w:val="59"/>
          <w:sz w:val="24"/>
          <w:szCs w:val="24"/>
        </w:rPr>
        <w:t xml:space="preserve"> </w:t>
      </w:r>
      <w:r>
        <w:rPr>
          <w:rFonts w:cs="Times New Roman" w:ascii="Times New Roman" w:hAnsi="Times New Roman"/>
          <w:b/>
          <w:sz w:val="24"/>
          <w:szCs w:val="24"/>
        </w:rPr>
        <w:t>PER</w:t>
      </w:r>
      <w:r>
        <w:rPr>
          <w:rFonts w:cs="Times New Roman" w:ascii="Times New Roman" w:hAnsi="Times New Roman"/>
          <w:b/>
          <w:spacing w:val="59"/>
          <w:sz w:val="24"/>
          <w:szCs w:val="24"/>
        </w:rPr>
        <w:t xml:space="preserve"> </w:t>
      </w:r>
      <w:r>
        <w:rPr>
          <w:rFonts w:cs="Times New Roman" w:ascii="Times New Roman" w:hAnsi="Times New Roman"/>
          <w:b/>
          <w:sz w:val="24"/>
          <w:szCs w:val="24"/>
        </w:rPr>
        <w:t>L’AFFIDAMENTO DEL</w:t>
      </w:r>
      <w:r>
        <w:rPr>
          <w:rFonts w:cs="Times New Roman" w:ascii="Times New Roman" w:hAnsi="Times New Roman"/>
          <w:sz w:val="24"/>
          <w:szCs w:val="24"/>
        </w:rPr>
        <w:t xml:space="preserve"> </w:t>
      </w:r>
      <w:r>
        <w:rPr>
          <w:rFonts w:cs="Times New Roman" w:ascii="Times New Roman" w:hAnsi="Times New Roman"/>
          <w:b/>
          <w:color w:val="auto"/>
          <w:sz w:val="24"/>
          <w:szCs w:val="24"/>
        </w:rPr>
        <w:t>SERVIZIO DI EDUCATIVA TERRITORIALE  E DOMICILIARE A SOSTEGNO DELL’INCLUSIONE SOCIALE E DELLA GENITORIALITA’</w:t>
      </w:r>
      <w:r>
        <w:rPr>
          <w:rFonts w:cs="Times New Roman" w:ascii="Times New Roman" w:hAnsi="Times New Roman"/>
          <w:b/>
          <w:color w:val="auto"/>
          <w:sz w:val="28"/>
          <w:szCs w:val="28"/>
        </w:rPr>
        <w:t xml:space="preserve">, </w:t>
      </w:r>
      <w:r>
        <w:rPr>
          <w:rFonts w:cs="Times New Roman" w:ascii="Times New Roman" w:hAnsi="Times New Roman"/>
          <w:b/>
          <w:color w:val="auto"/>
          <w:sz w:val="24"/>
          <w:szCs w:val="24"/>
        </w:rPr>
        <w:t xml:space="preserve">A FAVORE DI ADULTI FRAGILI E NUCLEI FAMILIARI  BENEFICIARI DELL’ASSEGNO DI INCLUSIONE O IN ANALOGHE CONDIZIONI ECONOMICHE. </w:t>
      </w:r>
    </w:p>
    <w:p>
      <w:pPr>
        <w:pStyle w:val="Normal"/>
        <w:widowControl/>
        <w:ind w:left="426" w:right="332" w:hanging="0"/>
        <w:jc w:val="both"/>
        <w:rPr>
          <w:rFonts w:ascii="Times New Roman" w:hAnsi="Times New Roman"/>
          <w:sz w:val="24"/>
          <w:szCs w:val="24"/>
        </w:rPr>
      </w:pPr>
      <w:r>
        <w:rPr>
          <w:rFonts w:eastAsia="Calibri" w:cs="Times New Roman" w:ascii="Times New Roman" w:hAnsi="Times New Roman"/>
          <w:b/>
          <w:sz w:val="24"/>
          <w:szCs w:val="24"/>
          <w:lang w:eastAsia="zh-CN"/>
        </w:rPr>
        <w:t xml:space="preserve"> </w:t>
      </w:r>
    </w:p>
    <w:p>
      <w:pPr>
        <w:pStyle w:val="Normal"/>
        <w:widowControl/>
        <w:ind w:left="426" w:right="332" w:hanging="0"/>
        <w:jc w:val="both"/>
        <w:rPr>
          <w:rFonts w:ascii="Times New Roman" w:hAnsi="Times New Roman"/>
          <w:sz w:val="24"/>
          <w:szCs w:val="24"/>
        </w:rPr>
      </w:pPr>
      <w:r>
        <w:rPr>
          <w:rFonts w:cs="Times New Roman" w:ascii="Times New Roman" w:hAnsi="Times New Roman"/>
          <w:b/>
          <w:sz w:val="24"/>
          <w:szCs w:val="24"/>
          <w:lang w:eastAsia="zh-CN"/>
        </w:rPr>
        <w:t xml:space="preserve"> </w:t>
      </w:r>
    </w:p>
    <w:p>
      <w:pPr>
        <w:pStyle w:val="Normal"/>
        <w:ind w:firstLine="426"/>
        <w:jc w:val="both"/>
        <w:rPr>
          <w:rFonts w:ascii="Times New Roman" w:hAnsi="Times New Roman"/>
          <w:sz w:val="24"/>
          <w:szCs w:val="24"/>
        </w:rPr>
      </w:pPr>
      <w:r>
        <w:rPr>
          <w:rFonts w:cs="Times New Roman" w:ascii="Times New Roman" w:hAnsi="Times New Roman"/>
          <w:b/>
          <w:sz w:val="24"/>
          <w:szCs w:val="24"/>
          <w:lang w:eastAsia="zh-CN"/>
        </w:rPr>
        <w:t xml:space="preserve">CUI  </w:t>
      </w:r>
      <w:r>
        <w:rPr>
          <w:rFonts w:eastAsia="Times New Roman" w:cs="Arial" w:ascii="Times New Roman" w:hAnsi="Times New Roman"/>
          <w:b/>
          <w:sz w:val="24"/>
          <w:szCs w:val="24"/>
          <w:lang w:eastAsia="it-IT"/>
        </w:rPr>
        <w:t>S07239020014202500003</w:t>
      </w:r>
    </w:p>
    <w:p>
      <w:pPr>
        <w:pStyle w:val="Normal"/>
        <w:ind w:firstLine="426"/>
        <w:jc w:val="both"/>
        <w:rPr>
          <w:rFonts w:ascii="Times New Roman" w:hAnsi="Times New Roman"/>
          <w:sz w:val="24"/>
          <w:szCs w:val="24"/>
        </w:rPr>
      </w:pPr>
      <w:r>
        <w:rPr>
          <w:rFonts w:eastAsia="Arial MT" w:cs="Times New Roman" w:ascii="Times New Roman" w:hAnsi="Times New Roman"/>
          <w:b/>
          <w:sz w:val="24"/>
          <w:szCs w:val="24"/>
          <w:lang w:eastAsia="zh-CN"/>
        </w:rPr>
        <w:t>C</w:t>
      </w:r>
      <w:r>
        <w:rPr>
          <w:rFonts w:eastAsia="Arial MT" w:cs="Times New Roman" w:ascii="Times New Roman" w:hAnsi="Times New Roman"/>
          <w:b/>
          <w:sz w:val="24"/>
          <w:szCs w:val="24"/>
        </w:rPr>
        <w:t>IG</w:t>
      </w:r>
      <w:r>
        <w:rPr>
          <w:rFonts w:eastAsia="Arial MT" w:cs="Times New Roman" w:ascii="Times New Roman" w:hAnsi="Times New Roman"/>
          <w:b/>
          <w:sz w:val="24"/>
          <w:szCs w:val="24"/>
          <w:lang w:val="en-US"/>
        </w:rPr>
        <w:t xml:space="preserve"> </w:t>
      </w:r>
    </w:p>
    <w:p>
      <w:pPr>
        <w:pStyle w:val="Normal"/>
        <w:widowControl/>
        <w:tabs>
          <w:tab w:val="clear" w:pos="720"/>
          <w:tab w:val="left" w:pos="450" w:leader="none"/>
        </w:tabs>
        <w:ind w:left="426" w:right="332" w:hanging="0"/>
        <w:jc w:val="both"/>
        <w:rPr>
          <w:rFonts w:ascii="Times New Roman" w:hAnsi="Times New Roman"/>
          <w:sz w:val="24"/>
          <w:szCs w:val="24"/>
        </w:rPr>
      </w:pPr>
      <w:r>
        <w:rPr>
          <w:rFonts w:eastAsia="Arial MT" w:cs="Times New Roman" w:ascii="Times New Roman" w:hAnsi="Times New Roman"/>
          <w:b/>
          <w:sz w:val="24"/>
          <w:szCs w:val="24"/>
        </w:rPr>
        <w:t xml:space="preserve">CUP </w:t>
      </w:r>
      <w:r>
        <w:rPr>
          <w:rFonts w:eastAsia="Arial MT" w:cs="Cambria" w:ascii="Times New Roman" w:hAnsi="Times New Roman"/>
          <w:b w:val="false"/>
          <w:bCs w:val="false"/>
          <w:color w:val="000000"/>
          <w:sz w:val="24"/>
          <w:szCs w:val="24"/>
          <w:lang w:val="en-US" w:eastAsia="zh-CN"/>
        </w:rPr>
        <w:t>F81H22000770001</w:t>
      </w:r>
    </w:p>
    <w:p>
      <w:pPr>
        <w:pStyle w:val="Heading2"/>
        <w:spacing w:lineRule="auto" w:line="276" w:before="44" w:after="0"/>
        <w:ind w:left="277" w:right="1355" w:hanging="0"/>
        <w:jc w:val="both"/>
        <w:rPr>
          <w:rFonts w:ascii="Times New Roman" w:hAnsi="Times New Roman" w:cs="Times New Roman"/>
          <w:b w:val="false"/>
          <w:b w:val="false"/>
          <w:sz w:val="24"/>
          <w:szCs w:val="24"/>
        </w:rPr>
      </w:pPr>
      <w:r>
        <w:rPr>
          <w:rFonts w:cs="Times New Roman" w:ascii="Times New Roman" w:hAnsi="Times New Roman"/>
          <w:b w:val="false"/>
          <w:sz w:val="24"/>
          <w:szCs w:val="24"/>
        </w:rPr>
      </w:r>
    </w:p>
    <w:p>
      <w:pPr>
        <w:pStyle w:val="TextBody"/>
        <w:rPr>
          <w:rFonts w:ascii="Times New Roman" w:hAnsi="Times New Roman" w:cs="Times New Roman"/>
          <w:b/>
          <w:b/>
          <w:sz w:val="24"/>
          <w:szCs w:val="24"/>
        </w:rPr>
      </w:pPr>
      <w:r>
        <w:rPr>
          <w:rFonts w:cs="Times New Roman" w:ascii="Times New Roman" w:hAnsi="Times New Roman"/>
          <w:b/>
          <w:sz w:val="24"/>
          <w:szCs w:val="24"/>
        </w:rPr>
      </w:r>
    </w:p>
    <w:p>
      <w:pPr>
        <w:pStyle w:val="TextBody"/>
        <w:rPr>
          <w:rFonts w:ascii="Times New Roman" w:hAnsi="Times New Roman" w:cs="Times New Roman"/>
          <w:b/>
          <w:b/>
          <w:sz w:val="24"/>
          <w:szCs w:val="24"/>
        </w:rPr>
      </w:pPr>
      <w:r>
        <w:rPr>
          <w:rFonts w:cs="Times New Roman" w:ascii="Times New Roman" w:hAnsi="Times New Roman"/>
          <w:b/>
          <w:sz w:val="24"/>
          <w:szCs w:val="24"/>
        </w:rPr>
      </w:r>
    </w:p>
    <w:p>
      <w:pPr>
        <w:pStyle w:val="TextBody"/>
        <w:rPr>
          <w:rFonts w:ascii="Times New Roman" w:hAnsi="Times New Roman" w:cs="Times New Roman"/>
          <w:b/>
          <w:b/>
          <w:sz w:val="24"/>
          <w:szCs w:val="24"/>
        </w:rPr>
      </w:pPr>
      <w:r>
        <w:rPr>
          <w:rFonts w:cs="Times New Roman" w:ascii="Times New Roman" w:hAnsi="Times New Roman"/>
          <w:b/>
          <w:sz w:val="24"/>
          <w:szCs w:val="24"/>
        </w:rPr>
      </w:r>
    </w:p>
    <w:p>
      <w:pPr>
        <w:pStyle w:val="TextBody"/>
        <w:rPr>
          <w:rFonts w:ascii="Times New Roman" w:hAnsi="Times New Roman" w:cs="Times New Roman"/>
          <w:b/>
          <w:b/>
          <w:sz w:val="24"/>
          <w:szCs w:val="24"/>
        </w:rPr>
      </w:pPr>
      <w:r>
        <w:rPr>
          <w:rFonts w:cs="Times New Roman" w:ascii="Times New Roman" w:hAnsi="Times New Roman"/>
          <w:b/>
          <w:sz w:val="24"/>
          <w:szCs w:val="24"/>
        </w:rPr>
      </w:r>
    </w:p>
    <w:p>
      <w:pPr>
        <w:pStyle w:val="TextBody"/>
        <w:spacing w:before="8" w:after="0"/>
        <w:rPr>
          <w:rFonts w:ascii="Times New Roman" w:hAnsi="Times New Roman" w:cs="Times New Roman"/>
          <w:b/>
          <w:b/>
          <w:sz w:val="24"/>
          <w:szCs w:val="24"/>
        </w:rPr>
      </w:pPr>
      <w:r>
        <w:rPr>
          <w:rFonts w:cs="Times New Roman" w:ascii="Times New Roman" w:hAnsi="Times New Roman"/>
          <w:b/>
          <w:sz w:val="24"/>
          <w:szCs w:val="24"/>
        </w:rPr>
      </w:r>
    </w:p>
    <w:p>
      <w:pPr>
        <w:pStyle w:val="Normal"/>
        <w:ind w:left="3955" w:right="3881" w:hanging="0"/>
        <w:jc w:val="center"/>
        <w:rPr>
          <w:rFonts w:ascii="Times New Roman" w:hAnsi="Times New Roman"/>
          <w:sz w:val="24"/>
          <w:szCs w:val="24"/>
        </w:rPr>
      </w:pPr>
      <w:r>
        <w:rPr>
          <w:rFonts w:cs="Times New Roman" w:ascii="Times New Roman" w:hAnsi="Times New Roman"/>
          <w:b/>
          <w:sz w:val="24"/>
          <w:szCs w:val="24"/>
        </w:rPr>
        <w:t>DISCIPLINARE</w:t>
      </w:r>
      <w:r>
        <w:rPr>
          <w:rFonts w:cs="Times New Roman" w:ascii="Times New Roman" w:hAnsi="Times New Roman"/>
          <w:b/>
          <w:spacing w:val="-4"/>
          <w:sz w:val="24"/>
          <w:szCs w:val="24"/>
        </w:rPr>
        <w:t xml:space="preserve"> </w:t>
      </w:r>
      <w:r>
        <w:rPr>
          <w:rFonts w:cs="Times New Roman" w:ascii="Times New Roman" w:hAnsi="Times New Roman"/>
          <w:b/>
          <w:sz w:val="24"/>
          <w:szCs w:val="24"/>
        </w:rPr>
        <w:t>DI</w:t>
      </w:r>
      <w:r>
        <w:rPr>
          <w:rFonts w:cs="Times New Roman" w:ascii="Times New Roman" w:hAnsi="Times New Roman"/>
          <w:b/>
          <w:spacing w:val="-2"/>
          <w:sz w:val="24"/>
          <w:szCs w:val="24"/>
        </w:rPr>
        <w:t xml:space="preserve"> </w:t>
      </w:r>
      <w:r>
        <w:rPr>
          <w:rFonts w:cs="Times New Roman" w:ascii="Times New Roman" w:hAnsi="Times New Roman"/>
          <w:b/>
          <w:sz w:val="24"/>
          <w:szCs w:val="24"/>
        </w:rPr>
        <w:t>GARA</w:t>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rPr>
          <w:rFonts w:ascii="Times New Roman" w:hAnsi="Times New Roman"/>
          <w:b/>
          <w:b/>
          <w:sz w:val="24"/>
          <w:szCs w:val="24"/>
        </w:rPr>
      </w:pPr>
      <w:r>
        <w:rPr>
          <w:rFonts w:ascii="Times New Roman" w:hAnsi="Times New Roman"/>
          <w:b/>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TextBody"/>
        <w:spacing w:before="7" w:after="0"/>
        <w:ind w:right="410" w:hanging="0"/>
        <w:rPr>
          <w:rFonts w:ascii="Times New Roman" w:hAnsi="Times New Roman"/>
          <w:sz w:val="24"/>
          <w:szCs w:val="24"/>
        </w:rPr>
      </w:pPr>
      <w:r>
        <w:rPr>
          <w:rFonts w:ascii="Times New Roman" w:hAnsi="Times New Roman"/>
          <w:sz w:val="24"/>
          <w:szCs w:val="24"/>
        </w:rPr>
      </w:r>
    </w:p>
    <w:p>
      <w:pPr>
        <w:pStyle w:val="ListParagraph"/>
        <w:numPr>
          <w:ilvl w:val="0"/>
          <w:numId w:val="1"/>
        </w:numPr>
        <w:tabs>
          <w:tab w:val="clear" w:pos="720"/>
          <w:tab w:val="left" w:pos="284" w:leader="none"/>
        </w:tabs>
        <w:spacing w:before="1" w:after="0"/>
        <w:ind w:left="284" w:right="694" w:hanging="0"/>
        <w:rPr>
          <w:rFonts w:ascii="Times New Roman" w:hAnsi="Times New Roman"/>
          <w:sz w:val="24"/>
          <w:szCs w:val="24"/>
        </w:rPr>
      </w:pPr>
      <w:r>
        <w:rPr>
          <w:rFonts w:cs="Times New Roman" w:ascii="Times New Roman" w:hAnsi="Times New Roman"/>
          <w:b/>
          <w:sz w:val="24"/>
          <w:szCs w:val="24"/>
        </w:rPr>
        <w:t>PREMESSA</w:t>
      </w:r>
    </w:p>
    <w:p>
      <w:pPr>
        <w:pStyle w:val="TextBody"/>
        <w:tabs>
          <w:tab w:val="clear" w:pos="720"/>
          <w:tab w:val="left" w:pos="284" w:leader="none"/>
        </w:tabs>
        <w:spacing w:before="120" w:after="0"/>
        <w:ind w:left="284" w:right="694" w:hanging="0"/>
        <w:jc w:val="both"/>
        <w:rPr>
          <w:rFonts w:ascii="Times New Roman" w:hAnsi="Times New Roman" w:eastAsia="Arial MT" w:cs="Times New Roman"/>
          <w:sz w:val="24"/>
          <w:szCs w:val="24"/>
        </w:rPr>
      </w:pPr>
      <w:r>
        <w:rPr>
          <w:rFonts w:cs="Times New Roman" w:ascii="Times New Roman" w:hAnsi="Times New Roman"/>
          <w:sz w:val="24"/>
          <w:szCs w:val="24"/>
        </w:rPr>
        <w:t>Il presente disciplinare, allegato al bando di gara di cui costituisce parte integrante e sostanziale, contiene le</w:t>
      </w:r>
      <w:r>
        <w:rPr>
          <w:rFonts w:cs="Times New Roman" w:ascii="Times New Roman" w:hAnsi="Times New Roman"/>
          <w:spacing w:val="1"/>
          <w:sz w:val="24"/>
          <w:szCs w:val="24"/>
        </w:rPr>
        <w:t xml:space="preserve"> </w:t>
      </w:r>
      <w:r>
        <w:rPr>
          <w:rFonts w:cs="Times New Roman" w:ascii="Times New Roman" w:hAnsi="Times New Roman"/>
          <w:sz w:val="24"/>
          <w:szCs w:val="24"/>
        </w:rPr>
        <w:t>norme relative alle modalità di partecipazione alla procedura selettiva indetta dal Consorzio Intercomunale dei</w:t>
      </w:r>
      <w:r>
        <w:rPr>
          <w:rFonts w:cs="Times New Roman" w:ascii="Times New Roman" w:hAnsi="Times New Roman"/>
          <w:spacing w:val="-47"/>
          <w:sz w:val="24"/>
          <w:szCs w:val="24"/>
        </w:rPr>
        <w:t xml:space="preserve"> </w:t>
      </w:r>
      <w:r>
        <w:rPr>
          <w:rFonts w:cs="Times New Roman" w:ascii="Times New Roman" w:hAnsi="Times New Roman"/>
          <w:sz w:val="24"/>
          <w:szCs w:val="24"/>
        </w:rPr>
        <w:t>Servizi Socio Assistenziali di Pianezza (To); le modalità di compilazione e presentazione</w:t>
      </w:r>
      <w:r>
        <w:rPr>
          <w:rFonts w:cs="Times New Roman" w:ascii="Times New Roman" w:hAnsi="Times New Roman"/>
          <w:spacing w:val="1"/>
          <w:sz w:val="24"/>
          <w:szCs w:val="24"/>
        </w:rPr>
        <w:t xml:space="preserve"> </w:t>
      </w:r>
      <w:r>
        <w:rPr>
          <w:rFonts w:cs="Times New Roman" w:ascii="Times New Roman" w:hAnsi="Times New Roman"/>
          <w:sz w:val="24"/>
          <w:szCs w:val="24"/>
        </w:rPr>
        <w:t>dell’offerta; i documenti da presentare a corredo della stessa; la procedura di aggiudicazione, nonché le ulteriori</w:t>
      </w:r>
      <w:r>
        <w:rPr>
          <w:rFonts w:cs="Times New Roman" w:ascii="Times New Roman" w:hAnsi="Times New Roman"/>
          <w:spacing w:val="1"/>
          <w:sz w:val="24"/>
          <w:szCs w:val="24"/>
        </w:rPr>
        <w:t xml:space="preserve"> </w:t>
      </w:r>
      <w:r>
        <w:rPr>
          <w:rFonts w:cs="Times New Roman" w:ascii="Times New Roman" w:hAnsi="Times New Roman"/>
          <w:sz w:val="24"/>
          <w:szCs w:val="24"/>
        </w:rPr>
        <w:t>informazioni relative all’appalto avente ad oggetto l’affidamento del  Servizio educativo territoriale e/o domiciliare  per adulti fragili e nuclei familiari, finalizzato al supporto all’inclusione sociale e al sostegno alla genitorialità a favore di adulti fragili e</w:t>
      </w:r>
      <w:r>
        <w:rPr>
          <w:rFonts w:eastAsia="Arial MT" w:cs="Times New Roman" w:ascii="Times New Roman" w:hAnsi="Times New Roman"/>
          <w:sz w:val="24"/>
          <w:szCs w:val="24"/>
        </w:rPr>
        <w:t xml:space="preserve"> nuclei familiari beneficiari dell’assegno di inclusione o in analoghe condizioni economiche</w:t>
      </w:r>
    </w:p>
    <w:p>
      <w:pPr>
        <w:pStyle w:val="ListParagraph"/>
        <w:tabs>
          <w:tab w:val="clear" w:pos="720"/>
          <w:tab w:val="left" w:pos="284" w:leader="none"/>
        </w:tabs>
        <w:spacing w:before="1" w:after="0"/>
        <w:ind w:left="284" w:right="69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eastAsia="Calibri" w:cs="Times New Roman" w:ascii="Times New Roman" w:hAnsi="Times New Roman" w:eastAsiaTheme="minorHAnsi"/>
          <w:b/>
          <w:color w:val="auto"/>
          <w:kern w:val="0"/>
          <w:sz w:val="24"/>
          <w:szCs w:val="24"/>
          <w:lang w:val="it-IT" w:eastAsia="en-US" w:bidi="ar-SA"/>
        </w:rPr>
        <w:t>2.    DEFINIZIONI GENERALI</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Nel testo del presente disciplinare di gara valgono a titolo esemplificativo le seguenti definizioni di cui si riassumono le principali:</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a) Stazione appaltante. Per Stazione appaltante si intende, Amministrazione aggiudicatrice (lettera o); Ente gestore dei servizi socio assistenziale;</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b) Operatore economico. Per operatore economico si intende l'imprenditore, il fornitore e il prestatore di servizi o un raggruppamento o consorzio di essi che offre sul mercato la realizzazione di lavori o opere, la fornitura di prodotti o la prestazione di servizi oggetto della presente gara (lettera p);</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c) Candidato/Offerente. Per soggetto candidato/offerente si intende l’operatore economico che partecipa alla presente procedura di gara (lettera bb) e cc).</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d) Soggetto aggiudicatario. Per soggetto aggiudicatario si intende quel soggetto offerente risultato aggiudicatario della presente procedura di gara. </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e) Legale rappresentante. Si definisce legale rappresentante del soggetto offerente qualsiasi persona che ha il potere di rappresentanza del soggetto stesso;</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f) Raggruppamento temporaneo. Designa un insieme di imprenditori, o fornitori, o prestatori di servizi, costituito, anche mediante scrittura privata, allo scopo di partecipare alla procedura di affidamento di uno specifico contratto pubblico, mediante presentazione di una unica offerta (lettera u);</w:t>
      </w:r>
    </w:p>
    <w:p>
      <w:pPr>
        <w:pStyle w:val="ListParagraph"/>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g) Consorzio. Il termine “consorzio” si riferisce ai consorzi previsti dall’ordinamento, con o senza personalità giuridica (lettera v). </w:t>
      </w:r>
    </w:p>
    <w:p>
      <w:pPr>
        <w:pStyle w:val="ListParagraph"/>
        <w:tabs>
          <w:tab w:val="clear" w:pos="720"/>
          <w:tab w:val="left" w:pos="284" w:leader="none"/>
        </w:tabs>
        <w:spacing w:before="1" w:after="0"/>
        <w:ind w:left="284" w:right="69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0"/>
          <w:numId w:val="0"/>
        </w:numPr>
        <w:tabs>
          <w:tab w:val="clear" w:pos="720"/>
          <w:tab w:val="left" w:pos="284" w:leader="none"/>
        </w:tabs>
        <w:spacing w:before="1" w:after="0"/>
        <w:ind w:left="284" w:right="694" w:hanging="0"/>
        <w:rPr>
          <w:rFonts w:ascii="Times New Roman" w:hAnsi="Times New Roman"/>
          <w:sz w:val="24"/>
          <w:szCs w:val="24"/>
        </w:rPr>
      </w:pPr>
      <w:r>
        <w:rPr>
          <w:rFonts w:cs="Times New Roman" w:ascii="Times New Roman" w:hAnsi="Times New Roman"/>
          <w:b/>
          <w:sz w:val="24"/>
          <w:szCs w:val="24"/>
        </w:rPr>
        <w:t>3. PIATTAFORMA TELEMATICA</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L’utilizzo della Piattaforma comporta l’accettazione tacita ed incondizionata di tutti i termini, le condizioni di utilizzo e le avvertenze contenute nei documenti di gara, in particolare, del Regolamento UE n. 910/2014 (di seguito Regolamento eIDAS - electronic IDentification Authentication and Signature), del decreto legislativo n. 82/2005 recante Codice dell’amministrazione digitale (CAD) e delle Linee guida dell’AGID, nonché di quanto portato a conoscenza degli utenti tramite le comunicazioni sulla Piattaforma.</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 xml:space="preserve">L’utilizzo della Piattaforma avviene nel rispetto dei principi di autoresponsabilità e di diligenza professionale, secondo quanto previsto dall’articolo 1176, comma 2, del Codice civile. </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 xml:space="preserve">◦ </w:t>
      </w:r>
      <w:r>
        <w:rPr>
          <w:rFonts w:cs="Times New Roman" w:ascii="Times New Roman" w:hAnsi="Times New Roman"/>
          <w:b w:val="false"/>
          <w:bCs w:val="false"/>
          <w:sz w:val="24"/>
          <w:szCs w:val="24"/>
        </w:rPr>
        <w:t>difetti di funzionamento delle apparecchiature e dei sistemi di collegamento e programmi impiegati dal singolo operatore economico per il collegamento alla Piattaforma;</w:t>
      </w:r>
    </w:p>
    <w:p>
      <w:pPr>
        <w:pStyle w:val="ListParagraph"/>
        <w:numPr>
          <w:ilvl w:val="0"/>
          <w:numId w:val="0"/>
        </w:numPr>
        <w:tabs>
          <w:tab w:val="clear" w:pos="720"/>
          <w:tab w:val="left" w:pos="284" w:leader="none"/>
        </w:tabs>
        <w:spacing w:before="1" w:after="0"/>
        <w:ind w:left="284" w:right="694" w:hanging="0"/>
        <w:jc w:val="left"/>
        <w:rPr/>
      </w:pPr>
      <w:r>
        <w:rPr>
          <w:rFonts w:cs="Times New Roman" w:ascii="Times New Roman" w:hAnsi="Times New Roman"/>
          <w:b w:val="false"/>
          <w:bCs w:val="false"/>
          <w:sz w:val="24"/>
          <w:szCs w:val="24"/>
        </w:rPr>
        <w:t xml:space="preserve">◦ </w:t>
      </w:r>
      <w:r>
        <w:rPr>
          <w:rFonts w:cs="Times New Roman" w:ascii="Times New Roman" w:hAnsi="Times New Roman"/>
          <w:b w:val="false"/>
          <w:bCs w:val="false"/>
          <w:sz w:val="24"/>
          <w:szCs w:val="24"/>
        </w:rPr>
        <w:t xml:space="preserve">utilizzo della Piattaforma da parte dell’operatore economico in maniera non conforme al Disciplinare e a quanto previsto nelle modalità di utilizzo della piattaforma MePA reperibile al seguente indirizzo: </w:t>
      </w:r>
      <w:r>
        <w:rPr>
          <w:rStyle w:val="InternetLink"/>
          <w:rFonts w:cs="Times New Roman" w:ascii="Times New Roman" w:hAnsi="Times New Roman"/>
          <w:b w:val="false"/>
          <w:bCs w:val="false"/>
          <w:sz w:val="24"/>
          <w:szCs w:val="24"/>
        </w:rPr>
        <w:t>https://www.acquistinretepa.it/opencms/opencms/programma_comeFunziona.html</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In caso di mancato funzionamento della Piattaforma o di malfunzionamento della stessa, non dovuti alle predette circostanze, che impediscono la corretta presentazione delle offerte, al fine di assicurare la massima partecipazione, la stazione appaltante può disporre la sospensione del termine di presentazione delle offerte per un periodo di tempo necessario a ripristinare il normale funzionamento della Piattaforma e la proroga dello stesso per una durata proporzionale alla durata del mancato o non corretto funzionamento, tenuto conto della gravità dello stesso.</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La stazione appaltante si riserva di agire in tal modo anche quando, esclusa la negligenza dell’operatore economico, non sia possibile accertare la causa del mancato funzionamento o del malfunzionamento.</w:t>
      </w:r>
    </w:p>
    <w:p>
      <w:pPr>
        <w:pStyle w:val="ListParagraph"/>
        <w:numPr>
          <w:ilvl w:val="0"/>
          <w:numId w:val="0"/>
        </w:numPr>
        <w:tabs>
          <w:tab w:val="clear" w:pos="720"/>
          <w:tab w:val="left" w:pos="284" w:leader="none"/>
        </w:tabs>
        <w:spacing w:before="1" w:after="0"/>
        <w:ind w:left="0"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283" w:right="680" w:hanging="0"/>
        <w:jc w:val="both"/>
        <w:rPr>
          <w:rFonts w:ascii="Times New Roman" w:hAnsi="Times New Roman"/>
          <w:sz w:val="24"/>
          <w:szCs w:val="24"/>
        </w:rPr>
      </w:pPr>
      <w:r>
        <w:rPr>
          <w:rFonts w:cs="Times New Roman" w:ascii="Times New Roman" w:hAnsi="Times New Roman"/>
          <w:b w:val="false"/>
          <w:bCs w:val="false"/>
          <w:sz w:val="24"/>
          <w:szCs w:val="24"/>
        </w:rPr>
        <w:t xml:space="preserve">Le attività e le operazioni effettuate nell'ambito della Piattaforma sono registrate e attribuite all’operatore economico e si intendono compiute nell’ora e nel giorno risultanti dalle registrazioni di sistema. </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 xml:space="preserve">Il sistema operativo della Piattaforma è sincronizzato sulla scala di tempo nazionale di cui al decreto del Ministro dell'industria, del commercio e dell'artigianato 30 novembre 1993, n. 591, tramite protocollo NTP o standard superiore. </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L’acquisto, l’installazione e la configurazione dell’hardware, del software, dei certificati digitali di firma, della casella di PEC o comunque di un indirizzo di servizio elettronico di recapito certificato qualificato, nonché dei collegamenti per l’accesso alla rete Internet, restano a esclusivo carico dell’operatore economico.</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val="false"/>
          <w:bCs w:val="false"/>
          <w:sz w:val="24"/>
          <w:szCs w:val="24"/>
        </w:rPr>
        <w:t>La Piattaforma è accessibile in qualsiasi orario dalla data di pubblicazione del bando alla data di scadenza del termine di presentazione delle offerte</w:t>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bCs/>
          <w:sz w:val="24"/>
          <w:szCs w:val="24"/>
        </w:rPr>
        <w:t xml:space="preserve">4. </w:t>
      </w:r>
      <w:r>
        <w:rPr>
          <w:rFonts w:cs="Times New Roman" w:ascii="Times New Roman" w:hAnsi="Times New Roman"/>
          <w:b/>
          <w:sz w:val="24"/>
          <w:szCs w:val="24"/>
        </w:rPr>
        <w:t xml:space="preserve">OGGETTO DELL’APPALTO </w:t>
      </w:r>
    </w:p>
    <w:p>
      <w:pPr>
        <w:pStyle w:val="Normal"/>
        <w:tabs>
          <w:tab w:val="clear" w:pos="720"/>
          <w:tab w:val="left" w:pos="284" w:leader="none"/>
          <w:tab w:val="left" w:pos="9216" w:leader="none"/>
        </w:tabs>
        <w:spacing w:lineRule="exact" w:line="267"/>
        <w:ind w:left="284" w:right="694" w:hanging="0"/>
        <w:jc w:val="both"/>
        <w:rPr>
          <w:rFonts w:ascii="Times New Roman" w:hAnsi="Times New Roman"/>
          <w:sz w:val="24"/>
          <w:szCs w:val="24"/>
        </w:rPr>
      </w:pPr>
      <w:r>
        <w:rPr>
          <w:rFonts w:cs="Times New Roman" w:ascii="Times New Roman" w:hAnsi="Times New Roman"/>
          <w:i w:val="false"/>
          <w:iCs w:val="false"/>
          <w:sz w:val="24"/>
          <w:szCs w:val="24"/>
          <w:shd w:fill="auto" w:val="clear"/>
        </w:rPr>
        <w:t>L’affidamento in oggetto è disposto con determinazione n. 249 del 26/06/2025 e avverrà mediante procedura negoziata con applicazione del criterio dell’offerta economicamente più vantaggiosa individuata sulla base del miglior rapporto qualità prezzo, ai sensi dell’ art. 157 del D.Lgs. 36/2023 – Codice dei contratti pubblici.</w:t>
      </w:r>
    </w:p>
    <w:p>
      <w:pPr>
        <w:pStyle w:val="Normal"/>
        <w:tabs>
          <w:tab w:val="clear" w:pos="720"/>
          <w:tab w:val="left" w:pos="284" w:leader="none"/>
          <w:tab w:val="left" w:pos="9216" w:leader="none"/>
        </w:tabs>
        <w:spacing w:lineRule="exact" w:line="267"/>
        <w:ind w:left="284" w:right="694"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tabs>
          <w:tab w:val="clear" w:pos="720"/>
          <w:tab w:val="left" w:pos="284" w:leader="none"/>
          <w:tab w:val="left" w:pos="9216" w:leader="none"/>
        </w:tabs>
        <w:spacing w:lineRule="exact" w:line="267"/>
        <w:ind w:left="284" w:right="694" w:hanging="0"/>
        <w:jc w:val="both"/>
        <w:rPr>
          <w:rFonts w:ascii="Times New Roman" w:hAnsi="Times New Roman"/>
          <w:sz w:val="24"/>
          <w:szCs w:val="24"/>
        </w:rPr>
      </w:pPr>
      <w:r>
        <w:rPr>
          <w:rFonts w:cs="Times New Roman" w:ascii="Times New Roman" w:hAnsi="Times New Roman"/>
          <w:i w:val="false"/>
          <w:iCs w:val="false"/>
          <w:sz w:val="24"/>
          <w:szCs w:val="24"/>
          <w:shd w:fill="auto" w:val="clear"/>
        </w:rPr>
        <w:t>Trattandosi di procedura negoziata  di importo inferiore alla soglia di rilevanza comunitari il bando di gara verrà pubblicato:</w:t>
      </w:r>
    </w:p>
    <w:p>
      <w:pPr>
        <w:pStyle w:val="Normal"/>
        <w:tabs>
          <w:tab w:val="clear" w:pos="720"/>
          <w:tab w:val="left" w:pos="284" w:leader="none"/>
          <w:tab w:val="left" w:pos="9216" w:leader="none"/>
        </w:tabs>
        <w:spacing w:lineRule="exact" w:line="267"/>
        <w:ind w:left="284" w:right="694"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tabs>
          <w:tab w:val="clear" w:pos="720"/>
          <w:tab w:val="left" w:pos="284" w:leader="none"/>
          <w:tab w:val="left" w:pos="9216" w:leader="none"/>
        </w:tabs>
        <w:spacing w:lineRule="exact" w:line="267"/>
        <w:ind w:left="284" w:right="694" w:hanging="0"/>
        <w:jc w:val="both"/>
        <w:rPr>
          <w:rFonts w:ascii="Times New Roman" w:hAnsi="Times New Roman"/>
          <w:sz w:val="24"/>
          <w:szCs w:val="24"/>
        </w:rPr>
      </w:pPr>
      <w:r>
        <w:rPr>
          <w:rFonts w:cs="Times New Roman" w:ascii="Times New Roman" w:hAnsi="Times New Roman"/>
          <w:i w:val="false"/>
          <w:iCs w:val="false"/>
          <w:sz w:val="24"/>
          <w:szCs w:val="24"/>
          <w:shd w:fill="auto" w:val="clear"/>
        </w:rPr>
        <w:t xml:space="preserve">    • </w:t>
      </w:r>
      <w:r>
        <w:rPr>
          <w:rFonts w:cs="Times New Roman" w:ascii="Times New Roman" w:hAnsi="Times New Roman"/>
          <w:i w:val="false"/>
          <w:iCs w:val="false"/>
          <w:sz w:val="24"/>
          <w:szCs w:val="24"/>
          <w:shd w:fill="auto" w:val="clear"/>
        </w:rPr>
        <w:t>sul profilo internet del committente: http//www.cissa.it (sezione bandi di gara);</w:t>
      </w:r>
    </w:p>
    <w:p>
      <w:pPr>
        <w:pStyle w:val="Normal"/>
        <w:tabs>
          <w:tab w:val="clear" w:pos="720"/>
          <w:tab w:val="left" w:pos="284" w:leader="none"/>
          <w:tab w:val="left" w:pos="9216" w:leader="none"/>
        </w:tabs>
        <w:spacing w:lineRule="exact" w:line="267"/>
        <w:ind w:left="284" w:right="694" w:hanging="0"/>
        <w:jc w:val="both"/>
        <w:rPr>
          <w:rFonts w:ascii="Times New Roman" w:hAnsi="Times New Roman"/>
          <w:i w:val="false"/>
          <w:i w:val="false"/>
          <w:iCs w:val="false"/>
          <w:sz w:val="24"/>
          <w:szCs w:val="24"/>
          <w:highlight w:val="none"/>
          <w:shd w:fill="auto" w:val="clear"/>
        </w:rPr>
      </w:pPr>
      <w:r>
        <w:rPr>
          <w:rFonts w:ascii="Times New Roman" w:hAnsi="Times New Roman"/>
          <w:i w:val="false"/>
          <w:iCs w:val="false"/>
          <w:sz w:val="24"/>
          <w:szCs w:val="24"/>
          <w:shd w:fill="auto" w:val="clear"/>
        </w:rPr>
      </w:r>
    </w:p>
    <w:p>
      <w:pPr>
        <w:pStyle w:val="Normal"/>
        <w:tabs>
          <w:tab w:val="clear" w:pos="720"/>
          <w:tab w:val="left" w:pos="284" w:leader="none"/>
          <w:tab w:val="left" w:pos="9216" w:leader="none"/>
        </w:tabs>
        <w:spacing w:lineRule="exact" w:line="267"/>
        <w:ind w:left="284" w:right="694" w:hanging="0"/>
        <w:jc w:val="both"/>
        <w:rPr>
          <w:rFonts w:ascii="Times New Roman" w:hAnsi="Times New Roman"/>
          <w:sz w:val="24"/>
          <w:szCs w:val="24"/>
        </w:rPr>
      </w:pPr>
      <w:r>
        <w:rPr>
          <w:rFonts w:cs="Times New Roman" w:ascii="Times New Roman" w:hAnsi="Times New Roman"/>
          <w:i w:val="false"/>
          <w:iCs w:val="false"/>
          <w:sz w:val="24"/>
          <w:szCs w:val="24"/>
          <w:shd w:fill="auto" w:val="clear"/>
        </w:rPr>
        <w:t>Il Responsabile del procedimento, ai sensi dell’art. 15 del Codice, è la Dott.ssa Katia  Gastaldi.</w:t>
      </w:r>
    </w:p>
    <w:p>
      <w:pPr>
        <w:pStyle w:val="Normal"/>
        <w:tabs>
          <w:tab w:val="clear" w:pos="720"/>
          <w:tab w:val="left" w:pos="284" w:leader="none"/>
          <w:tab w:val="left" w:pos="9216" w:leader="none"/>
        </w:tabs>
        <w:spacing w:lineRule="exact" w:line="267"/>
        <w:ind w:left="284" w:right="694" w:hanging="0"/>
        <w:jc w:val="both"/>
        <w:rPr>
          <w:rFonts w:ascii="Times New Roman" w:hAnsi="Times New Roman"/>
          <w:sz w:val="24"/>
          <w:szCs w:val="24"/>
        </w:rPr>
      </w:pPr>
      <w:r>
        <w:rPr>
          <w:rFonts w:cs="Times New Roman" w:ascii="Times New Roman" w:hAnsi="Times New Roman"/>
          <w:i w:val="false"/>
          <w:iCs w:val="false"/>
          <w:sz w:val="24"/>
          <w:szCs w:val="24"/>
          <w:shd w:fill="auto" w:val="clear"/>
        </w:rPr>
        <w:t>Il Direttore dell’esecuzione sarà comunicato alla data di sottoscrizione del contratto.</w:t>
      </w:r>
      <w:r>
        <w:rPr>
          <w:rFonts w:cs="Times New Roman" w:ascii="Times New Roman" w:hAnsi="Times New Roman"/>
          <w:i/>
          <w:sz w:val="24"/>
          <w:szCs w:val="24"/>
          <w:shd w:fill="auto" w:val="clear"/>
        </w:rPr>
        <w:tab/>
      </w:r>
    </w:p>
    <w:p>
      <w:pPr>
        <w:pStyle w:val="TextBody"/>
        <w:tabs>
          <w:tab w:val="clear" w:pos="720"/>
          <w:tab w:val="left" w:pos="284" w:leader="none"/>
        </w:tabs>
        <w:spacing w:before="2"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284" w:leader="none"/>
        </w:tabs>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rPr>
          <w:rFonts w:ascii="Times New Roman" w:hAnsi="Times New Roman"/>
          <w:sz w:val="24"/>
          <w:szCs w:val="24"/>
        </w:rPr>
      </w:pPr>
      <w:r>
        <w:rPr>
          <w:rFonts w:cs="Times New Roman" w:ascii="Times New Roman" w:hAnsi="Times New Roman"/>
          <w:b/>
          <w:sz w:val="24"/>
          <w:szCs w:val="24"/>
        </w:rPr>
        <w:t xml:space="preserve">5. </w:t>
      </w:r>
      <w:bookmarkStart w:id="0" w:name="_TOC_250021"/>
      <w:r>
        <w:rPr>
          <w:rFonts w:cs="Times New Roman" w:ascii="Times New Roman" w:hAnsi="Times New Roman"/>
          <w:b/>
          <w:sz w:val="24"/>
          <w:szCs w:val="24"/>
        </w:rPr>
        <w:t>DUR</w:t>
      </w:r>
      <w:r>
        <w:rPr>
          <w:rFonts w:cs="Times New Roman" w:ascii="Times New Roman" w:hAnsi="Times New Roman"/>
          <w:b/>
          <w:sz w:val="24"/>
          <w:szCs w:val="24"/>
          <w:shd w:fill="auto" w:val="clear"/>
        </w:rPr>
        <w:t>ATA DELL’APPALTO, IMPORTO A BASE DI GARA</w:t>
      </w:r>
      <w:bookmarkEnd w:id="0"/>
    </w:p>
    <w:p>
      <w:pPr>
        <w:pStyle w:val="Normal"/>
        <w:widowControl w:val="false"/>
        <w:tabs>
          <w:tab w:val="clear" w:pos="720"/>
          <w:tab w:val="left" w:pos="744" w:leader="none"/>
        </w:tabs>
        <w:suppressAutoHyphens w:val="true"/>
        <w:bidi w:val="0"/>
        <w:spacing w:before="120" w:after="0"/>
        <w:ind w:left="340" w:right="567" w:hanging="0"/>
        <w:jc w:val="both"/>
        <w:rPr>
          <w:shd w:fill="auto" w:val="clear"/>
        </w:rPr>
      </w:pPr>
      <w:r>
        <w:rPr>
          <w:rFonts w:cs="Times New Roman" w:ascii="Times New Roman" w:hAnsi="Times New Roman"/>
          <w:spacing w:val="1"/>
          <w:sz w:val="24"/>
          <w:szCs w:val="24"/>
          <w:shd w:fill="auto" w:val="clear"/>
        </w:rPr>
        <w:t>La durata del Servizio oggetto della presente procedura negoziata è fissata in dodici mesi indicativamente dal 01/10/2025 con possibilità di rinnovo per un ulteriore anno ed eventuale proroga semestrale .</w:t>
      </w:r>
    </w:p>
    <w:p>
      <w:pPr>
        <w:pStyle w:val="TextBody"/>
        <w:tabs>
          <w:tab w:val="clear" w:pos="720"/>
          <w:tab w:val="left" w:pos="284" w:leader="none"/>
        </w:tabs>
        <w:spacing w:before="3" w:after="0"/>
        <w:ind w:left="284" w:right="694" w:hanging="0"/>
        <w:jc w:val="both"/>
        <w:rPr>
          <w:rFonts w:ascii="Times New Roman" w:hAnsi="Times New Roman"/>
          <w:sz w:val="24"/>
          <w:szCs w:val="24"/>
        </w:rPr>
      </w:pPr>
      <w:r>
        <w:rPr>
          <w:rFonts w:cs="Times New Roman" w:ascii="Times New Roman" w:hAnsi="Times New Roman"/>
          <w:sz w:val="24"/>
          <w:szCs w:val="24"/>
        </w:rPr>
        <w:t>La durata del contratto in corso di esecuzione potrà essere modificata per il tempo strettamente necessario</w:t>
      </w:r>
      <w:r>
        <w:rPr>
          <w:rFonts w:cs="Times New Roman" w:ascii="Times New Roman" w:hAnsi="Times New Roman"/>
          <w:spacing w:val="1"/>
          <w:sz w:val="24"/>
          <w:szCs w:val="24"/>
        </w:rPr>
        <w:t xml:space="preserve"> </w:t>
      </w:r>
      <w:r>
        <w:rPr>
          <w:rFonts w:cs="Times New Roman" w:ascii="Times New Roman" w:hAnsi="Times New Roman"/>
          <w:sz w:val="24"/>
          <w:szCs w:val="24"/>
        </w:rPr>
        <w:t>alla conclusione delle procedure necessarie per l’individuazione del nuovo contraente; in tal caso il contraente è tenuto all’esecuzione delle prestazioni oggetto del contratto</w:t>
      </w:r>
      <w:r>
        <w:rPr>
          <w:rFonts w:cs="Times New Roman" w:ascii="Times New Roman" w:hAnsi="Times New Roman"/>
          <w:spacing w:val="1"/>
          <w:sz w:val="24"/>
          <w:szCs w:val="24"/>
        </w:rPr>
        <w:t xml:space="preserve"> </w:t>
      </w:r>
      <w:r>
        <w:rPr>
          <w:rFonts w:cs="Times New Roman" w:ascii="Times New Roman" w:hAnsi="Times New Roman"/>
          <w:sz w:val="24"/>
          <w:szCs w:val="24"/>
        </w:rPr>
        <w:t>agli stessi prezzi patti</w:t>
      </w:r>
      <w:r>
        <w:rPr>
          <w:rFonts w:cs="Times New Roman" w:ascii="Times New Roman" w:hAnsi="Times New Roman"/>
          <w:spacing w:val="-3"/>
          <w:sz w:val="24"/>
          <w:szCs w:val="24"/>
        </w:rPr>
        <w:t xml:space="preserve"> </w:t>
      </w:r>
      <w:r>
        <w:rPr>
          <w:rFonts w:cs="Times New Roman" w:ascii="Times New Roman" w:hAnsi="Times New Roman"/>
          <w:sz w:val="24"/>
          <w:szCs w:val="24"/>
        </w:rPr>
        <w:t>e</w:t>
      </w:r>
      <w:r>
        <w:rPr>
          <w:rFonts w:cs="Times New Roman" w:ascii="Times New Roman" w:hAnsi="Times New Roman"/>
          <w:spacing w:val="1"/>
          <w:sz w:val="24"/>
          <w:szCs w:val="24"/>
        </w:rPr>
        <w:t xml:space="preserve"> </w:t>
      </w:r>
      <w:r>
        <w:rPr>
          <w:rFonts w:cs="Times New Roman" w:ascii="Times New Roman" w:hAnsi="Times New Roman"/>
          <w:sz w:val="24"/>
          <w:szCs w:val="24"/>
        </w:rPr>
        <w:t>condizioni o</w:t>
      </w:r>
      <w:r>
        <w:rPr>
          <w:rFonts w:cs="Times New Roman" w:ascii="Times New Roman" w:hAnsi="Times New Roman"/>
          <w:spacing w:val="1"/>
          <w:sz w:val="24"/>
          <w:szCs w:val="24"/>
        </w:rPr>
        <w:t xml:space="preserve"> </w:t>
      </w:r>
      <w:r>
        <w:rPr>
          <w:rFonts w:cs="Times New Roman" w:ascii="Times New Roman" w:hAnsi="Times New Roman"/>
          <w:sz w:val="24"/>
          <w:szCs w:val="24"/>
        </w:rPr>
        <w:t>più</w:t>
      </w:r>
      <w:r>
        <w:rPr>
          <w:rFonts w:cs="Times New Roman" w:ascii="Times New Roman" w:hAnsi="Times New Roman"/>
          <w:spacing w:val="-1"/>
          <w:sz w:val="24"/>
          <w:szCs w:val="24"/>
        </w:rPr>
        <w:t xml:space="preserve"> </w:t>
      </w:r>
      <w:r>
        <w:rPr>
          <w:rFonts w:cs="Times New Roman" w:ascii="Times New Roman" w:hAnsi="Times New Roman"/>
          <w:sz w:val="24"/>
          <w:szCs w:val="24"/>
        </w:rPr>
        <w:t>favorevoli.</w:t>
      </w:r>
    </w:p>
    <w:p>
      <w:pPr>
        <w:pStyle w:val="TextBody"/>
        <w:tabs>
          <w:tab w:val="clear" w:pos="720"/>
          <w:tab w:val="left" w:pos="284" w:leader="none"/>
        </w:tabs>
        <w:spacing w:before="8" w:after="0"/>
        <w:ind w:left="284" w:right="694" w:hanging="0"/>
        <w:rPr>
          <w:rFonts w:ascii="Times New Roman" w:hAnsi="Times New Roman" w:cs="Times New Roman"/>
          <w:sz w:val="24"/>
          <w:szCs w:val="24"/>
        </w:rPr>
      </w:pPr>
      <w:r>
        <w:rPr>
          <w:rFonts w:cs="Times New Roman" w:ascii="Times New Roman" w:hAnsi="Times New Roman"/>
          <w:sz w:val="24"/>
          <w:szCs w:val="24"/>
        </w:rPr>
      </w:r>
    </w:p>
    <w:p>
      <w:pPr>
        <w:pStyle w:val="Heading4"/>
        <w:tabs>
          <w:tab w:val="clear" w:pos="720"/>
          <w:tab w:val="left" w:pos="284" w:leader="none"/>
          <w:tab w:val="left" w:pos="727" w:leader="none"/>
        </w:tabs>
        <w:ind w:left="284" w:right="694" w:hanging="0"/>
        <w:rPr>
          <w:rFonts w:ascii="Times New Roman" w:hAnsi="Times New Roman"/>
          <w:sz w:val="24"/>
          <w:szCs w:val="24"/>
        </w:rPr>
      </w:pPr>
      <w:r>
        <w:rPr>
          <w:rFonts w:cs="Times New Roman" w:ascii="Times New Roman" w:hAnsi="Times New Roman"/>
          <w:sz w:val="24"/>
          <w:szCs w:val="24"/>
        </w:rPr>
        <w:t>IMPORTO</w:t>
      </w:r>
      <w:r>
        <w:rPr>
          <w:rFonts w:cs="Times New Roman" w:ascii="Times New Roman" w:hAnsi="Times New Roman"/>
          <w:spacing w:val="-2"/>
          <w:sz w:val="24"/>
          <w:szCs w:val="24"/>
        </w:rPr>
        <w:t xml:space="preserve"> </w:t>
      </w:r>
      <w:r>
        <w:rPr>
          <w:rFonts w:cs="Times New Roman" w:ascii="Times New Roman" w:hAnsi="Times New Roman"/>
          <w:sz w:val="24"/>
          <w:szCs w:val="24"/>
        </w:rPr>
        <w:t>DELLA</w:t>
      </w:r>
      <w:r>
        <w:rPr>
          <w:rFonts w:cs="Times New Roman" w:ascii="Times New Roman" w:hAnsi="Times New Roman"/>
          <w:spacing w:val="-8"/>
          <w:sz w:val="24"/>
          <w:szCs w:val="24"/>
        </w:rPr>
        <w:t xml:space="preserve"> </w:t>
      </w:r>
      <w:r>
        <w:rPr>
          <w:rFonts w:cs="Times New Roman" w:ascii="Times New Roman" w:hAnsi="Times New Roman"/>
          <w:sz w:val="24"/>
          <w:szCs w:val="24"/>
        </w:rPr>
        <w:t>GARA</w:t>
      </w:r>
    </w:p>
    <w:p>
      <w:pPr>
        <w:pStyle w:val="Normal"/>
        <w:tabs>
          <w:tab w:val="clear" w:pos="720"/>
          <w:tab w:val="left" w:pos="284" w:leader="none"/>
        </w:tabs>
        <w:ind w:left="284" w:right="694" w:hanging="0"/>
        <w:jc w:val="both"/>
        <w:rPr>
          <w:rFonts w:ascii="Times New Roman" w:hAnsi="Times New Roman"/>
          <w:sz w:val="24"/>
          <w:szCs w:val="24"/>
        </w:rPr>
      </w:pPr>
      <w:r>
        <w:rPr>
          <w:rFonts w:eastAsia="Times New Roman" w:cs="Times New Roman" w:ascii="Times New Roman" w:hAnsi="Times New Roman"/>
          <w:color w:val="000000"/>
          <w:sz w:val="24"/>
          <w:szCs w:val="24"/>
          <w:lang w:eastAsia="it-IT"/>
        </w:rPr>
        <w:t>Gli importi assunti a base di gara, sotto riportati, sono stati quantificati prendendo a riferimento i costi orari desunti dal C.C.N.L. per i lavoratori delle Cooperative del settore socio sanitario, assistenziale, educativo e di inserimenti lavorativi, sottoscritto dalle maggiori OO.SS. e sono, pertanto, da considerarsi non vincolanti per i soggetti partecipanti che non rientrino nel campo di applicazione di tale Contratto.</w:t>
      </w:r>
    </w:p>
    <w:p>
      <w:pPr>
        <w:pStyle w:val="Normal"/>
        <w:tabs>
          <w:tab w:val="clear" w:pos="720"/>
          <w:tab w:val="left" w:pos="284" w:leader="none"/>
        </w:tabs>
        <w:ind w:left="284" w:right="694" w:hanging="0"/>
        <w:jc w:val="both"/>
        <w:rPr>
          <w:rFonts w:ascii="Times New Roman" w:hAnsi="Times New Roman" w:eastAsia="Times New Roman" w:cs="Times New Roman"/>
          <w:color w:val="000000"/>
          <w:sz w:val="24"/>
          <w:szCs w:val="24"/>
          <w:lang w:eastAsia="it-IT"/>
        </w:rPr>
      </w:pPr>
      <w:r>
        <w:rPr>
          <w:rFonts w:eastAsia="Times New Roman" w:cs="Times New Roman" w:ascii="Times New Roman" w:hAnsi="Times New Roman"/>
          <w:color w:val="000000"/>
          <w:sz w:val="24"/>
          <w:szCs w:val="24"/>
          <w:lang w:eastAsia="it-IT"/>
        </w:rPr>
      </w:r>
    </w:p>
    <w:p>
      <w:pPr>
        <w:pStyle w:val="Normal"/>
        <w:widowControl w:val="false"/>
        <w:suppressAutoHyphens w:val="true"/>
        <w:bidi w:val="0"/>
        <w:spacing w:before="0" w:after="0"/>
        <w:ind w:left="397" w:right="680" w:hanging="0"/>
        <w:jc w:val="both"/>
        <w:rPr/>
      </w:pPr>
      <w:r>
        <w:rPr>
          <w:rFonts w:eastAsia="LiberationSerif;Times New Roman" w:cs="Times New Roman" w:ascii="Times New Roman" w:hAnsi="Times New Roman"/>
          <w:color w:val="000000"/>
          <w:sz w:val="24"/>
          <w:szCs w:val="24"/>
        </w:rPr>
        <w:t xml:space="preserve">Il </w:t>
      </w:r>
      <w:r>
        <w:rPr>
          <w:rFonts w:eastAsia="LiberationSerif;Times New Roman" w:cs="Times New Roman" w:ascii="Times New Roman" w:hAnsi="Times New Roman"/>
          <w:b/>
          <w:bCs/>
          <w:color w:val="000000"/>
          <w:sz w:val="24"/>
          <w:szCs w:val="24"/>
        </w:rPr>
        <w:t>valore annuale</w:t>
      </w:r>
      <w:r>
        <w:rPr>
          <w:rFonts w:eastAsia="LiberationSerif;Times New Roman" w:cs="Times New Roman" w:ascii="Times New Roman" w:hAnsi="Times New Roman"/>
          <w:color w:val="000000"/>
          <w:sz w:val="24"/>
          <w:szCs w:val="24"/>
        </w:rPr>
        <w:t xml:space="preserve"> presunto del servizio oggetto della presente procedura ammonta a </w:t>
      </w:r>
      <w:r>
        <w:rPr>
          <w:rFonts w:eastAsia="LiberationSerif;Times New Roman" w:cs="Times New Roman" w:ascii="Times New Roman" w:hAnsi="Times New Roman"/>
          <w:b/>
          <w:bCs/>
          <w:color w:val="000000"/>
          <w:sz w:val="24"/>
          <w:szCs w:val="24"/>
        </w:rPr>
        <w:t>€ 220.416,00</w:t>
      </w:r>
      <w:r>
        <w:rPr>
          <w:rFonts w:eastAsia="LiberationSerif;Times New Roman" w:cs="Times New Roman" w:ascii="Times New Roman" w:hAnsi="Times New Roman"/>
          <w:color w:val="000000"/>
          <w:sz w:val="24"/>
          <w:szCs w:val="24"/>
        </w:rPr>
        <w:t xml:space="preserve"> IVA esclusa, mentre il valore complessivo  dell’appalto comprensivo di rinnovo annuale e proroga semestrale ammonta a € 551.040,00 Iva esclusa:</w:t>
      </w:r>
    </w:p>
    <w:p>
      <w:pPr>
        <w:pStyle w:val="Normal"/>
        <w:ind w:left="0" w:right="602" w:hanging="0"/>
        <w:jc w:val="both"/>
        <w:rPr>
          <w:rFonts w:ascii="Times New Roman" w:hAnsi="Times New Roman" w:cs="Times New Roman"/>
          <w:sz w:val="24"/>
          <w:szCs w:val="24"/>
        </w:rPr>
      </w:pPr>
      <w:r>
        <w:rPr>
          <w:rFonts w:cs="Times New Roman" w:ascii="Times New Roman" w:hAnsi="Times New Roman"/>
          <w:sz w:val="24"/>
          <w:szCs w:val="24"/>
        </w:rPr>
      </w:r>
    </w:p>
    <w:tbl>
      <w:tblPr>
        <w:tblW w:w="8500" w:type="dxa"/>
        <w:jc w:val="left"/>
        <w:tblInd w:w="530" w:type="dxa"/>
        <w:tblLayout w:type="fixed"/>
        <w:tblCellMar>
          <w:top w:w="55" w:type="dxa"/>
          <w:left w:w="55" w:type="dxa"/>
          <w:bottom w:w="55" w:type="dxa"/>
          <w:right w:w="55" w:type="dxa"/>
        </w:tblCellMar>
      </w:tblPr>
      <w:tblGrid>
        <w:gridCol w:w="2623"/>
        <w:gridCol w:w="3525"/>
        <w:gridCol w:w="2352"/>
      </w:tblGrid>
      <w:tr>
        <w:trPr/>
        <w:tc>
          <w:tcPr>
            <w:tcW w:w="2623" w:type="dxa"/>
            <w:tcBorders>
              <w:top w:val="single" w:sz="4" w:space="0" w:color="000000"/>
              <w:left w:val="single" w:sz="4" w:space="0" w:color="000000"/>
              <w:bottom w:val="single" w:sz="4" w:space="0" w:color="000000"/>
            </w:tcBorders>
          </w:tcPr>
          <w:p>
            <w:pPr>
              <w:pStyle w:val="TableContents"/>
              <w:widowControl w:val="false"/>
              <w:rPr/>
            </w:pPr>
            <w:r>
              <w:rPr/>
              <w:t>operatori</w:t>
            </w:r>
          </w:p>
        </w:tc>
        <w:tc>
          <w:tcPr>
            <w:tcW w:w="3525" w:type="dxa"/>
            <w:tcBorders>
              <w:top w:val="single" w:sz="4" w:space="0" w:color="000000"/>
              <w:left w:val="single" w:sz="4" w:space="0" w:color="000000"/>
              <w:bottom w:val="single" w:sz="4" w:space="0" w:color="000000"/>
            </w:tcBorders>
          </w:tcPr>
          <w:p>
            <w:pPr>
              <w:pStyle w:val="TableContents"/>
              <w:widowControl w:val="false"/>
              <w:rPr/>
            </w:pPr>
            <w:r>
              <w:rPr/>
              <w:t>Costo orario</w:t>
            </w:r>
          </w:p>
        </w:tc>
        <w:tc>
          <w:tcPr>
            <w:tcW w:w="2352" w:type="dxa"/>
            <w:tcBorders>
              <w:top w:val="single" w:sz="4" w:space="0" w:color="000000"/>
              <w:left w:val="single" w:sz="4" w:space="0" w:color="000000"/>
              <w:bottom w:val="single" w:sz="4" w:space="0" w:color="000000"/>
              <w:right w:val="single" w:sz="4" w:space="0" w:color="000000"/>
            </w:tcBorders>
          </w:tcPr>
          <w:p>
            <w:pPr>
              <w:pStyle w:val="TableContents"/>
              <w:widowControl w:val="false"/>
              <w:rPr/>
            </w:pPr>
            <w:r>
              <w:rPr/>
              <w:t>Ore annuali</w:t>
            </w:r>
          </w:p>
        </w:tc>
      </w:tr>
      <w:tr>
        <w:trPr/>
        <w:tc>
          <w:tcPr>
            <w:tcW w:w="2623" w:type="dxa"/>
            <w:tcBorders>
              <w:left w:val="single" w:sz="4" w:space="0" w:color="000000"/>
              <w:bottom w:val="single" w:sz="4" w:space="0" w:color="000000"/>
            </w:tcBorders>
          </w:tcPr>
          <w:p>
            <w:pPr>
              <w:pStyle w:val="TableContents"/>
              <w:widowControl w:val="false"/>
              <w:rPr/>
            </w:pPr>
            <w:r>
              <w:rPr/>
              <w:t>Assistente sociale</w:t>
            </w:r>
          </w:p>
        </w:tc>
        <w:tc>
          <w:tcPr>
            <w:tcW w:w="3525" w:type="dxa"/>
            <w:tcBorders>
              <w:left w:val="single" w:sz="4" w:space="0" w:color="000000"/>
              <w:bottom w:val="single" w:sz="4" w:space="0" w:color="000000"/>
            </w:tcBorders>
          </w:tcPr>
          <w:p>
            <w:pPr>
              <w:pStyle w:val="TableContents"/>
              <w:widowControl w:val="false"/>
              <w:rPr/>
            </w:pPr>
            <w:r>
              <w:rPr/>
              <w:t>28,00</w:t>
            </w:r>
          </w:p>
        </w:tc>
        <w:tc>
          <w:tcPr>
            <w:tcW w:w="2352" w:type="dxa"/>
            <w:tcBorders>
              <w:left w:val="single" w:sz="4" w:space="0" w:color="000000"/>
              <w:bottom w:val="single" w:sz="4" w:space="0" w:color="000000"/>
              <w:right w:val="single" w:sz="4" w:space="0" w:color="000000"/>
            </w:tcBorders>
          </w:tcPr>
          <w:p>
            <w:pPr>
              <w:pStyle w:val="TableContents"/>
              <w:widowControl w:val="false"/>
              <w:rPr/>
            </w:pPr>
            <w:r>
              <w:rPr/>
              <w:t>1872</w:t>
            </w:r>
          </w:p>
        </w:tc>
      </w:tr>
      <w:tr>
        <w:trPr/>
        <w:tc>
          <w:tcPr>
            <w:tcW w:w="2623" w:type="dxa"/>
            <w:tcBorders>
              <w:left w:val="single" w:sz="4" w:space="0" w:color="000000"/>
              <w:bottom w:val="single" w:sz="4" w:space="0" w:color="000000"/>
            </w:tcBorders>
          </w:tcPr>
          <w:p>
            <w:pPr>
              <w:pStyle w:val="TableContents"/>
              <w:widowControl w:val="false"/>
              <w:rPr/>
            </w:pPr>
            <w:r>
              <w:rPr/>
              <w:t>Educatori prof.le</w:t>
            </w:r>
          </w:p>
        </w:tc>
        <w:tc>
          <w:tcPr>
            <w:tcW w:w="3525" w:type="dxa"/>
            <w:tcBorders>
              <w:left w:val="single" w:sz="4" w:space="0" w:color="000000"/>
              <w:bottom w:val="single" w:sz="4" w:space="0" w:color="000000"/>
            </w:tcBorders>
          </w:tcPr>
          <w:p>
            <w:pPr>
              <w:pStyle w:val="TableContents"/>
              <w:widowControl w:val="false"/>
              <w:rPr/>
            </w:pPr>
            <w:r>
              <w:rPr/>
              <w:t>28,00</w:t>
            </w:r>
          </w:p>
        </w:tc>
        <w:tc>
          <w:tcPr>
            <w:tcW w:w="2352" w:type="dxa"/>
            <w:tcBorders>
              <w:left w:val="single" w:sz="4" w:space="0" w:color="000000"/>
              <w:bottom w:val="single" w:sz="4" w:space="0" w:color="000000"/>
              <w:right w:val="single" w:sz="4" w:space="0" w:color="000000"/>
            </w:tcBorders>
          </w:tcPr>
          <w:p>
            <w:pPr>
              <w:pStyle w:val="TableContents"/>
              <w:widowControl w:val="false"/>
              <w:rPr/>
            </w:pPr>
            <w:r>
              <w:rPr/>
              <w:t>6000</w:t>
            </w:r>
          </w:p>
        </w:tc>
      </w:tr>
    </w:tbl>
    <w:p>
      <w:pPr>
        <w:pStyle w:val="Normal"/>
        <w:ind w:left="426" w:right="602" w:hanging="0"/>
        <w:jc w:val="both"/>
        <w:rPr>
          <w:rFonts w:ascii="Times New Roman" w:hAnsi="Times New Roman" w:eastAsia="Arial MT" w:cs="Times New Roman"/>
          <w:b/>
          <w:b/>
          <w:bCs/>
          <w:color w:val="000000"/>
          <w:sz w:val="24"/>
          <w:szCs w:val="24"/>
          <w:shd w:fill="auto" w:val="clear"/>
          <w:lang w:eastAsia="it-IT"/>
        </w:rPr>
      </w:pPr>
      <w:r>
        <w:rPr>
          <w:rFonts w:eastAsia="Arial MT" w:cs="Times New Roman" w:ascii="Times New Roman" w:hAnsi="Times New Roman"/>
          <w:b/>
          <w:bCs/>
          <w:color w:val="000000"/>
          <w:sz w:val="24"/>
          <w:szCs w:val="24"/>
          <w:shd w:fill="auto" w:val="clear"/>
          <w:lang w:eastAsia="it-IT"/>
        </w:rPr>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0"/>
        </w:numPr>
        <w:tabs>
          <w:tab w:val="clear" w:pos="720"/>
          <w:tab w:val="left" w:pos="284" w:leader="none"/>
        </w:tabs>
        <w:spacing w:before="1" w:after="0"/>
        <w:ind w:left="284" w:right="694" w:hanging="0"/>
        <w:rPr>
          <w:rFonts w:ascii="Times New Roman" w:hAnsi="Times New Roman"/>
          <w:sz w:val="24"/>
          <w:szCs w:val="24"/>
        </w:rPr>
      </w:pPr>
      <w:r>
        <w:rPr>
          <w:rFonts w:cs="Times New Roman" w:ascii="Times New Roman" w:hAnsi="Times New Roman"/>
          <w:b/>
          <w:sz w:val="24"/>
          <w:szCs w:val="24"/>
        </w:rPr>
        <w:t>6.   DOCUMENTAZIONE DI GARA, CHIARIMENTI E COMUNICAZIONI</w:t>
      </w:r>
    </w:p>
    <w:p>
      <w:pPr>
        <w:pStyle w:val="Normal"/>
        <w:tabs>
          <w:tab w:val="clear" w:pos="720"/>
          <w:tab w:val="left" w:pos="284" w:leader="none"/>
        </w:tabs>
        <w:ind w:left="284" w:right="694" w:hanging="0"/>
        <w:jc w:val="both"/>
        <w:rPr>
          <w:rFonts w:ascii="Times New Roman" w:hAnsi="Times New Roman" w:cs="Times New Roman"/>
          <w:b/>
          <w:b/>
          <w:sz w:val="24"/>
          <w:szCs w:val="24"/>
        </w:rPr>
      </w:pPr>
      <w:r>
        <w:rPr>
          <w:rFonts w:cs="Times New Roman" w:ascii="Times New Roman" w:hAnsi="Times New Roman"/>
          <w:b/>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sz w:val="24"/>
          <w:szCs w:val="24"/>
        </w:rPr>
        <w:t>6.1</w:t>
        <w:tab/>
        <w:t>DOCUMENTI DI GARA</w:t>
      </w:r>
    </w:p>
    <w:p>
      <w:pPr>
        <w:pStyle w:val="ListParagraph"/>
        <w:numPr>
          <w:ilvl w:val="0"/>
          <w:numId w:val="0"/>
        </w:numPr>
        <w:ind w:left="284" w:right="694" w:hanging="0"/>
        <w:jc w:val="both"/>
        <w:rPr>
          <w:rFonts w:ascii="Times New Roman" w:hAnsi="Times New Roman"/>
          <w:sz w:val="24"/>
          <w:szCs w:val="24"/>
        </w:rPr>
      </w:pPr>
      <w:r>
        <w:rPr>
          <w:rFonts w:cs="Times New Roman" w:ascii="Times New Roman" w:hAnsi="Times New Roman"/>
          <w:sz w:val="24"/>
          <w:szCs w:val="24"/>
        </w:rPr>
        <w:t>La documentazione di gara comprende:</w:t>
      </w:r>
    </w:p>
    <w:p>
      <w:pPr>
        <w:pStyle w:val="ListParagraph"/>
        <w:widowControl w:val="false"/>
        <w:numPr>
          <w:ilvl w:val="0"/>
          <w:numId w:val="0"/>
        </w:numPr>
        <w:suppressAutoHyphens w:val="true"/>
        <w:bidi w:val="0"/>
        <w:spacing w:before="0" w:after="0"/>
        <w:ind w:left="340" w:right="680"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1) capitolato speciale;</w:t>
      </w:r>
    </w:p>
    <w:p>
      <w:pPr>
        <w:pStyle w:val="ListParagraph"/>
        <w:numPr>
          <w:ilvl w:val="0"/>
          <w:numId w:val="0"/>
        </w:numPr>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2) disciplinare di gara; </w:t>
      </w:r>
    </w:p>
    <w:p>
      <w:pPr>
        <w:pStyle w:val="ListParagraph"/>
        <w:numPr>
          <w:ilvl w:val="0"/>
          <w:numId w:val="0"/>
        </w:numPr>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3) schema di contratto;</w:t>
      </w:r>
    </w:p>
    <w:p>
      <w:pPr>
        <w:pStyle w:val="ListParagraph"/>
        <w:numPr>
          <w:ilvl w:val="0"/>
          <w:numId w:val="0"/>
        </w:numPr>
        <w:ind w:left="284" w:right="694" w:hanging="0"/>
        <w:jc w:val="left"/>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4) documento di gara unico europeo (DGUE) www.acquistinretepa.it/index.php/Documento_di_Gara_Unico_Europeo </w:t>
      </w:r>
    </w:p>
    <w:p>
      <w:pPr>
        <w:pStyle w:val="ListParagraph"/>
        <w:numPr>
          <w:ilvl w:val="0"/>
          <w:numId w:val="0"/>
        </w:numPr>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5) Il patto di integrità (deliberazione Consiglio di Amministrazione n. 49 del 18/11/2021); </w:t>
      </w:r>
    </w:p>
    <w:p>
      <w:pPr>
        <w:pStyle w:val="ListParagraph"/>
        <w:numPr>
          <w:ilvl w:val="0"/>
          <w:numId w:val="0"/>
        </w:numPr>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6) modello/schema per la presentazione dell’offerta economica</w:t>
      </w:r>
    </w:p>
    <w:p>
      <w:pPr>
        <w:pStyle w:val="ListParagraph"/>
        <w:numPr>
          <w:ilvl w:val="0"/>
          <w:numId w:val="0"/>
        </w:numPr>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7) informativa sul trattamento dei dati personali</w:t>
      </w:r>
    </w:p>
    <w:p>
      <w:pPr>
        <w:pStyle w:val="ListParagraph"/>
        <w:numPr>
          <w:ilvl w:val="0"/>
          <w:numId w:val="0"/>
        </w:numPr>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Tutta al documentazione di gara è liberamente accessibile, in forma gratuita, e senza limitazioni sul sito della stazione appaltante www.cissa.it nell’apposita sezione dedicata Bandi di gara.</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sz w:val="24"/>
          <w:szCs w:val="24"/>
        </w:rPr>
        <w:t>6.2</w:t>
        <w:tab/>
        <w:t>CHIARIMENTI</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É possibile ottenere chiarimenti sulla presente procedura mediante la proposizione di quesiti  scritti da inoltrare almeno</w:t>
      </w:r>
      <w:r>
        <w:rPr>
          <w:rFonts w:cs="Times New Roman" w:ascii="Times New Roman" w:hAnsi="Times New Roman"/>
          <w:sz w:val="24"/>
          <w:szCs w:val="24"/>
          <w:shd w:fill="auto" w:val="clear"/>
        </w:rPr>
        <w:t xml:space="preserve"> 10 giorni prima della</w:t>
      </w:r>
      <w:r>
        <w:rPr>
          <w:rFonts w:cs="Times New Roman" w:ascii="Times New Roman" w:hAnsi="Times New Roman"/>
          <w:sz w:val="24"/>
          <w:szCs w:val="24"/>
        </w:rPr>
        <w:t xml:space="preserve"> scadenza del termine fissato per la presentazione delle offerte in via telematica attraverso la sezione della Piattaforma riservata alle richieste di chiarimenti nella sezione “Comunicazioni Procedura” previa registrazione alla Piattaforma stessa.</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Le richieste di chiarimenti e le relative risposte sono formulate esclusivamente in lingua italiana. </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Le risposte alle richieste di chiarimenti presentate in tempo utile sono fornite in formato  elettronico alm</w:t>
      </w:r>
      <w:r>
        <w:rPr>
          <w:rFonts w:cs="Times New Roman" w:ascii="Times New Roman" w:hAnsi="Times New Roman"/>
          <w:sz w:val="24"/>
          <w:szCs w:val="24"/>
          <w:shd w:fill="auto" w:val="clear"/>
        </w:rPr>
        <w:t>eno 6 giorni prima della scadenza del termine fissato per la presentazione delle offerte, mediante pubblicazione de</w:t>
      </w:r>
      <w:r>
        <w:rPr>
          <w:rFonts w:cs="Times New Roman" w:ascii="Times New Roman" w:hAnsi="Times New Roman"/>
          <w:sz w:val="24"/>
          <w:szCs w:val="24"/>
        </w:rPr>
        <w:t>lle richieste in forma anonima e delle relative risposte sulla Piattaforma MePA sezione “Richiesta chiarimenti” e sul sito istituzionale dell’Ente nella sezione Bandi di gara https://www.cissa.it/Bandigare Si invitano i concorrenti a visionare costantemente tale sezione della Piattaforma o il sito istituzionale.</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Non viene fornita risposta alle richieste presentate con modalità diverse da quelle sopra  indicate.</w:t>
      </w:r>
    </w:p>
    <w:p>
      <w:pPr>
        <w:pStyle w:val="TextBody"/>
        <w:tabs>
          <w:tab w:val="clear" w:pos="720"/>
          <w:tab w:val="left" w:pos="284" w:leader="none"/>
        </w:tabs>
        <w:spacing w:before="1" w:after="0"/>
        <w:ind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sz w:val="24"/>
          <w:szCs w:val="24"/>
        </w:rPr>
        <w:t>6.3</w:t>
        <w:tab/>
        <w:t>COMUNICAZIONI</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Tutte le comunicazioni e gli scambi di informazioni tra stazione appaltante e operatori  economici sono eseguiti in conformità con quanto disposto dal decreto legislativo n. 82/05, tramite le piattaforme di approvvigionamento digitale e, per quanto non previsto dalle stesse,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eIDAS. </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In caso di malfunzionamento della piattaforma, la stazione appaltante provvederà all’invio di  qualsiasi comunicazione al domicilio digitale presente negli indici di cui ai richiamati articoli 6-bis,6-ter, 6-quater del decreto legislativo n. 82/05.</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In caso di raggruppamenti temporanei, GEIE, aggregazioni di rete o consorzi ordinari, anche se non ancora costituiti formalmente, gli operatori economici raggruppati, aggregati o consorziati eleggono domicilio digitale presso il mandatario/capofila al fine della ricezione delle comunicazioni relative alla presente procedura. </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In caso di consorzi di cui all’art. 65 lett. b), c), d) del Codice, la comunicazione recapitata nei  modi sopra indicati al consorzio si intende validamente resa a tutte le consorziate.</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In caso di avvalimento, la comunicazione recapitata all’offerente nei modi sopra indicati si intende validamente resa a tutti gli operatori economici ausiliari.</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bCs/>
          <w:sz w:val="24"/>
          <w:szCs w:val="24"/>
        </w:rPr>
        <w:t>7.</w:t>
      </w:r>
      <w:r>
        <w:rPr>
          <w:rFonts w:cs="Times New Roman" w:ascii="Times New Roman" w:hAnsi="Times New Roman"/>
          <w:sz w:val="24"/>
          <w:szCs w:val="24"/>
        </w:rPr>
        <w:t xml:space="preserve"> </w:t>
      </w:r>
      <w:r>
        <w:rPr>
          <w:rFonts w:cs="Times New Roman" w:ascii="Times New Roman" w:hAnsi="Times New Roman"/>
          <w:b/>
          <w:bCs/>
          <w:sz w:val="24"/>
          <w:szCs w:val="24"/>
        </w:rPr>
        <w:t>SOGGETTI AMMESSI IN FORMA SINGOLA E ASSOCIATA E CONDIZIONI DI  PARTECIPAZIONE</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Gli operatori economici possono partecipare alla presente gara in forma singola o associata.</w:t>
      </w:r>
    </w:p>
    <w:p>
      <w:pPr>
        <w:pStyle w:val="TextBody"/>
        <w:widowControl w:val="false"/>
        <w:tabs>
          <w:tab w:val="clear" w:pos="720"/>
          <w:tab w:val="left" w:pos="284" w:leader="none"/>
        </w:tabs>
        <w:suppressAutoHyphens w:val="true"/>
        <w:bidi w:val="0"/>
        <w:spacing w:before="1" w:after="0"/>
        <w:ind w:left="283" w:right="624" w:hanging="0"/>
        <w:jc w:val="both"/>
        <w:rPr>
          <w:rFonts w:ascii="Times New Roman" w:hAnsi="Times New Roman"/>
          <w:sz w:val="24"/>
          <w:szCs w:val="24"/>
        </w:rPr>
      </w:pPr>
      <w:r>
        <w:rPr>
          <w:rFonts w:cs="Times New Roman" w:ascii="Times New Roman" w:hAnsi="Times New Roman"/>
          <w:sz w:val="24"/>
          <w:szCs w:val="24"/>
        </w:rPr>
        <w:t xml:space="preserve">Ai soggetti costituiti in forma associata si applicano le disposizioni di cui agli articoli 67 e 68 del Codice. </w:t>
      </w:r>
    </w:p>
    <w:p>
      <w:pPr>
        <w:pStyle w:val="TextBody"/>
        <w:widowControl w:val="false"/>
        <w:tabs>
          <w:tab w:val="clear" w:pos="720"/>
          <w:tab w:val="left" w:pos="284" w:leader="none"/>
        </w:tabs>
        <w:suppressAutoHyphens w:val="true"/>
        <w:bidi w:val="0"/>
        <w:spacing w:before="1" w:after="0"/>
        <w:ind w:left="283" w:right="624" w:hanging="0"/>
        <w:jc w:val="both"/>
        <w:rPr>
          <w:rFonts w:ascii="Times New Roman" w:hAnsi="Times New Roman"/>
          <w:sz w:val="24"/>
          <w:szCs w:val="24"/>
        </w:rPr>
      </w:pPr>
      <w:r>
        <w:rPr>
          <w:rFonts w:cs="Times New Roman" w:ascii="Times New Roman" w:hAnsi="Times New Roman"/>
          <w:sz w:val="24"/>
          <w:szCs w:val="24"/>
        </w:rPr>
        <w:t>I consorzi di cui agli articoli 65, comma 2 del Codice che intendono eseguire le prestazioni tramite  i propri consorziati sono tenuti ad indicare per quali consorziati il consorzio concorre.</w:t>
      </w:r>
    </w:p>
    <w:p>
      <w:pPr>
        <w:pStyle w:val="TextBody"/>
        <w:widowControl w:val="false"/>
        <w:tabs>
          <w:tab w:val="clear" w:pos="720"/>
          <w:tab w:val="left" w:pos="284" w:leader="none"/>
        </w:tabs>
        <w:suppressAutoHyphens w:val="true"/>
        <w:bidi w:val="0"/>
        <w:spacing w:before="1" w:after="0"/>
        <w:ind w:left="283" w:right="624" w:hanging="0"/>
        <w:jc w:val="both"/>
        <w:rPr>
          <w:rFonts w:ascii="Times New Roman" w:hAnsi="Times New Roman"/>
          <w:sz w:val="24"/>
          <w:szCs w:val="24"/>
        </w:rPr>
      </w:pPr>
      <w:r>
        <w:rPr>
          <w:rFonts w:cs="Times New Roman" w:ascii="Times New Roman" w:hAnsi="Times New Roman"/>
          <w:sz w:val="24"/>
          <w:szCs w:val="24"/>
        </w:rPr>
        <w:t>I consorzi di cui all’articolo 65, comma 2, lettere b) e c) sono tenuti ad indicare per quali consorziati il consorzio concorre.</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567" w:hanging="0"/>
        <w:jc w:val="both"/>
        <w:rPr>
          <w:rFonts w:ascii="Times New Roman" w:hAnsi="Times New Roman"/>
          <w:sz w:val="24"/>
          <w:szCs w:val="24"/>
        </w:rPr>
      </w:pPr>
      <w:r>
        <w:rPr>
          <w:rFonts w:cs="Times New Roman" w:ascii="Times New Roman" w:hAnsi="Times New Roman"/>
          <w:sz w:val="24"/>
          <w:szCs w:val="24"/>
        </w:rPr>
        <w:t>Il concorrente che partecipa alla gara in una delle forme di seguito indicate è escluso nel caso in cui la stazione appaltante accerti la sussistenza di rilevanti indizi tali da far ritenere che le offerte degli operatori economici siano imputabili ad un unico centro decisionale a cagione di accordi intercorsi con altri operatori economici partecipanti alla stessa gara:</w:t>
      </w:r>
    </w:p>
    <w:p>
      <w:pPr>
        <w:pStyle w:val="TextBody"/>
        <w:widowControl w:val="false"/>
        <w:numPr>
          <w:ilvl w:val="0"/>
          <w:numId w:val="5"/>
        </w:numPr>
        <w:tabs>
          <w:tab w:val="clear" w:pos="720"/>
          <w:tab w:val="left" w:pos="284" w:leader="none"/>
        </w:tabs>
        <w:suppressAutoHyphens w:val="true"/>
        <w:bidi w:val="0"/>
        <w:spacing w:before="1" w:after="0"/>
        <w:ind w:left="737" w:right="510" w:hanging="340"/>
        <w:jc w:val="both"/>
        <w:rPr/>
      </w:pPr>
      <w:r>
        <w:rPr>
          <w:rFonts w:cs="Times New Roman" w:ascii="Times New Roman" w:hAnsi="Times New Roman"/>
          <w:sz w:val="24"/>
          <w:szCs w:val="24"/>
        </w:rPr>
        <w:t>partecipazione in più di un raggruppamento temporaneo o consorzio ordinario di concorrenti o  aggregazione di operatori economici aderenti al contratto di rete (nel prosieguo, aggregazione di retisti);</w:t>
      </w:r>
    </w:p>
    <w:p>
      <w:pPr>
        <w:pStyle w:val="TextBody"/>
        <w:widowControl w:val="false"/>
        <w:numPr>
          <w:ilvl w:val="0"/>
          <w:numId w:val="4"/>
        </w:numPr>
        <w:tabs>
          <w:tab w:val="clear" w:pos="720"/>
          <w:tab w:val="left" w:pos="284" w:leader="none"/>
        </w:tabs>
        <w:suppressAutoHyphens w:val="true"/>
        <w:bidi w:val="0"/>
        <w:spacing w:before="1" w:after="0"/>
        <w:ind w:left="737" w:right="510" w:hanging="340"/>
        <w:jc w:val="both"/>
        <w:rPr>
          <w:rFonts w:ascii="Times New Roman" w:hAnsi="Times New Roman"/>
          <w:sz w:val="24"/>
          <w:szCs w:val="24"/>
        </w:rPr>
      </w:pPr>
      <w:r>
        <w:rPr>
          <w:rFonts w:cs="Times New Roman" w:ascii="Times New Roman" w:hAnsi="Times New Roman"/>
          <w:sz w:val="24"/>
          <w:szCs w:val="24"/>
        </w:rPr>
        <w:t xml:space="preserve">partecipazione sia in raggruppamento o consorzio ordinario di concorrenti sia in forma </w:t>
      </w:r>
      <w:r>
        <w:rPr>
          <w:rFonts w:cs="Times New Roman" w:ascii="Times New Roman" w:hAnsi="Times New Roman"/>
          <w:sz w:val="24"/>
          <w:szCs w:val="24"/>
          <w:shd w:fill="auto" w:val="clear"/>
        </w:rPr>
        <w:t>individuale:</w:t>
      </w:r>
    </w:p>
    <w:p>
      <w:pPr>
        <w:pStyle w:val="TextBody"/>
        <w:widowControl w:val="false"/>
        <w:numPr>
          <w:ilvl w:val="0"/>
          <w:numId w:val="4"/>
        </w:numPr>
        <w:tabs>
          <w:tab w:val="clear" w:pos="720"/>
          <w:tab w:val="left" w:pos="284" w:leader="none"/>
        </w:tabs>
        <w:suppressAutoHyphens w:val="true"/>
        <w:bidi w:val="0"/>
        <w:spacing w:before="1" w:after="0"/>
        <w:ind w:left="737" w:right="454" w:hanging="340"/>
        <w:jc w:val="both"/>
        <w:rPr>
          <w:rFonts w:ascii="Times New Roman" w:hAnsi="Times New Roman"/>
          <w:sz w:val="24"/>
          <w:szCs w:val="24"/>
        </w:rPr>
      </w:pPr>
      <w:r>
        <w:rPr>
          <w:rFonts w:cs="Times New Roman" w:ascii="Times New Roman" w:hAnsi="Times New Roman"/>
          <w:sz w:val="24"/>
          <w:szCs w:val="24"/>
        </w:rPr>
        <w:t>partecipazione sia in aggregazione di retisti sia in forma individuale. Tale esclusione non si  applica alle retiste non partecipanti all’aggregazione, le quali possono presentare offerta, per la medesima gara [in caso di suddivisione dell’appalto in lotti distinti sostituire “alla gara” con “al singolo lotto”], in forma singola o associata;</w:t>
      </w:r>
    </w:p>
    <w:p>
      <w:pPr>
        <w:pStyle w:val="TextBody"/>
        <w:widowControl w:val="false"/>
        <w:numPr>
          <w:ilvl w:val="0"/>
          <w:numId w:val="4"/>
        </w:numPr>
        <w:tabs>
          <w:tab w:val="clear" w:pos="720"/>
          <w:tab w:val="left" w:pos="284" w:leader="none"/>
        </w:tabs>
        <w:suppressAutoHyphens w:val="true"/>
        <w:bidi w:val="0"/>
        <w:spacing w:before="1" w:after="0"/>
        <w:ind w:left="737" w:right="454" w:hanging="340"/>
        <w:jc w:val="both"/>
        <w:rPr>
          <w:rFonts w:ascii="Times New Roman" w:hAnsi="Times New Roman"/>
          <w:sz w:val="24"/>
          <w:szCs w:val="24"/>
        </w:rPr>
      </w:pPr>
      <w:r>
        <w:rPr>
          <w:rFonts w:cs="Times New Roman" w:ascii="Times New Roman" w:hAnsi="Times New Roman"/>
          <w:sz w:val="24"/>
          <w:szCs w:val="24"/>
        </w:rPr>
        <w:t>partecipazione di un consorzio che ha designato un consorziato esecutore il quale, a sua volta, partecipa in una qualsiasi altra forma.</w:t>
      </w:r>
    </w:p>
    <w:p>
      <w:pPr>
        <w:pStyle w:val="TextBody"/>
        <w:widowControl w:val="false"/>
        <w:tabs>
          <w:tab w:val="clear" w:pos="720"/>
          <w:tab w:val="left" w:pos="284" w:leader="none"/>
        </w:tabs>
        <w:suppressAutoHyphens w:val="true"/>
        <w:bidi w:val="0"/>
        <w:spacing w:before="1" w:after="0"/>
        <w:ind w:left="283" w:right="397" w:hanging="0"/>
        <w:jc w:val="both"/>
        <w:rPr>
          <w:rFonts w:ascii="Times New Roman" w:hAnsi="Times New Roman"/>
          <w:sz w:val="24"/>
          <w:szCs w:val="24"/>
        </w:rPr>
      </w:pPr>
      <w:r>
        <w:rPr>
          <w:rFonts w:cs="Times New Roman" w:ascii="Times New Roman" w:hAnsi="Times New Roman"/>
          <w:sz w:val="24"/>
          <w:szCs w:val="24"/>
        </w:rPr>
        <w:t xml:space="preserve">Nel caso venga accertato quanto sopra, si provvede ad informare gli operatori economici coinvolti  i quali possono, entro cinque giorni, dimostrare che la circostanza non ha influito sulla gara, né è idonea a incidere sulla capacità di rispettare gli obblighi contrattuali. </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bCs/>
          <w:sz w:val="24"/>
          <w:szCs w:val="24"/>
        </w:rPr>
        <w:t>8.</w:t>
      </w:r>
      <w:r>
        <w:rPr>
          <w:rFonts w:cs="Times New Roman" w:ascii="Times New Roman" w:hAnsi="Times New Roman"/>
          <w:sz w:val="24"/>
          <w:szCs w:val="24"/>
        </w:rPr>
        <w:t xml:space="preserve"> </w:t>
      </w:r>
      <w:r>
        <w:rPr>
          <w:rFonts w:cs="Times New Roman" w:ascii="Times New Roman" w:hAnsi="Times New Roman"/>
          <w:b/>
          <w:bCs/>
          <w:sz w:val="24"/>
          <w:szCs w:val="24"/>
        </w:rPr>
        <w:t>REQUISITI DI ORDINE GENERALE E ALTRE CAUSE DI ESCLUSIONE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 concorrenti devono essere in possesso, a pena di esclusione, dei requisiti di ordine generale previsti dal Codice nonché degli ulteriori requisiti indicati nel presente articolo.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La stazione appaltante verifica il possesso dei requisiti di ordine generale accedendo al fascicolo virtuale dell’operatore economico (di seguito: FVOE).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Le circostanze di cui all’articolo 94 del Codice sono cause di esclusione automatica. La sussistenza delle circostanze di cui all’articolo 95 del Codice è accertata previo contraddittorio con l’operatore economico.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In caso di partecipazione di consorzi di cui all’articolo 65, comma 2, lettere b) e c) del Codice, i requisiti di cui al punto 5 sono posseduti dal consorzio e dalle consorziate indicate quali esecutrici.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In caso di partecipazione di consorzi stabili di cui all’articolo 65, comma 2, lett. d) del Codice, i requisiti di cui al punto 5 sono posseduti dal consorzio, dalle consorziate indicate quali esecutrici e dalle consorziate che prestano i requisiti.</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Self cleaning</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Un operatore economico che si trovi in una delle situazioni di cui agli articoli 94 e 95 del Codice, ad eccezione delle irregolarità contributive e fiscali definitivamente e non definitivamente accertate, può fornire prova di aver adottato misure (c.d. self cleaning) sufficienti a dimostrare la sua affidabilità. </w:t>
      </w:r>
    </w:p>
    <w:p>
      <w:pPr>
        <w:pStyle w:val="TextBody"/>
        <w:widowControl w:val="false"/>
        <w:tabs>
          <w:tab w:val="clear" w:pos="720"/>
          <w:tab w:val="left" w:pos="284" w:leader="none"/>
        </w:tabs>
        <w:suppressAutoHyphens w:val="true"/>
        <w:bidi w:val="0"/>
        <w:spacing w:before="1" w:after="0"/>
        <w:ind w:left="283" w:right="-57" w:hanging="0"/>
        <w:jc w:val="both"/>
        <w:rPr>
          <w:rFonts w:ascii="Times New Roman" w:hAnsi="Times New Roman"/>
          <w:sz w:val="24"/>
          <w:szCs w:val="24"/>
        </w:rPr>
      </w:pPr>
      <w:r>
        <w:rPr>
          <w:rFonts w:cs="Times New Roman" w:ascii="Times New Roman" w:hAnsi="Times New Roman"/>
          <w:sz w:val="24"/>
          <w:szCs w:val="24"/>
        </w:rPr>
        <w:t>Se la causa di esclusione si è verificata prima della presentazione dell’offerta, l’operatore economico indica nel DGUE la causa ostativa e, alternativamente: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descrive le misure adottate ai sensi dell’articolo 96, comma 6 del Codice;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motiva l’impossibilità ad adottare dette misure e si impegna a provvedere successivamente. L’adozione delle misure è comunicata alla stazione appaltante.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Se la causa di esclusione si è verificata successivamente alla presentazione dell’offerta, l’operatore economico adotta le misure di cui al comma 6 dell’articolo 96 del Codice dandone comunicazione alla stazione appaltante.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Se le misure adottate sono ritenute sufficienti e tempestive, l’operatore economico non è escluso. Se dette misure sono ritenute insufficienti e intempestive, la stazione appaltante ne comunica le ragioni all’operatore economico.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Non può avvalersi del self-cleaning l’operatore economico escluso con sentenza definitiva dalla partecipazione alle procedure di affidamento o di concessione, nel corso del periodo di esclusione derivante da tale sentenza.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Nel caso in cui un raggruppamento/consorzio abbia estromesso o sostituito un partecipante/esecutore interessato da una clausola di esclusione di cui agli articoli 94 e 95 del Codice, si valutano le misure adottate ai sensi dell’articolo 97 del Codice al fine di decidere sull’esclusione.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Altre cause di esclusione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Sono esclusi gli operatori economici che abbiano affidato incarichi in violazione dell’articolo 53, comma 16-ter, del decreto legislativo del 2001 n. 165 a soggetti che hanno esercitato, in qualità di dipendenti, poteri autoritativi o negoziali presso l’amministrazione affidante negli ultimi tre anni.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La mancata accettazione delle clausole contenute nel protocollo di legalità/patto di integrità e il mancato rispetto dello stesso costituiscono causa di esclusione dalla gara, ai sensi dell’articolo 83-bis del decreto legislativo n. 159/2011. </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bCs/>
          <w:sz w:val="24"/>
          <w:szCs w:val="24"/>
        </w:rPr>
        <w:t>9.  REQUISITI DI ORDINE SPECIALE E MEZZI DI PROVA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I concorrenti devono possedere, a pena di esclusione, i requisiti previsti nei commi seguenti.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La stazione appaltante verifica il possesso dei requisiti di ordine speciale accedendo al fascicolo virtuale dell’operatore economico (FVOE).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L’operatore economico è tenuto ad inserire nel FVOE i dati e le informazioni richiesti per la comprova del requisito, qualora questi non siano già presenti nel fascicolo o non siano già in possesso della stazione appaltante e non possano essere acquisiti d’ufficio da quest’ultima.</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bCs/>
          <w:sz w:val="24"/>
          <w:szCs w:val="24"/>
        </w:rPr>
        <w:t>9.1</w:t>
      </w:r>
      <w:r>
        <w:rPr>
          <w:rFonts w:cs="Times New Roman" w:ascii="Times New Roman" w:hAnsi="Times New Roman"/>
          <w:sz w:val="24"/>
          <w:szCs w:val="24"/>
        </w:rPr>
        <w:t xml:space="preserve"> </w:t>
      </w:r>
      <w:r>
        <w:rPr>
          <w:rFonts w:cs="Times New Roman" w:ascii="Times New Roman" w:hAnsi="Times New Roman"/>
          <w:b/>
          <w:bCs/>
          <w:sz w:val="24"/>
          <w:szCs w:val="24"/>
        </w:rPr>
        <w:t>Requisiti di idoneità professionale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Iscrizione nel Registro delle Imprese per attività pertinenti con quelle oggetto della presente procedura di gara.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Per l’operatore economico di altro Stato membro, non residente in Italia: iscrizione in uno dei registri professionali o commerciali degli altri Stati membri di cui all’allegato II.11 del Codice;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Ai fini della comprova, l’iscrizione nel Registro è acquisita d’ufficio dalla stazione appaltante tramite il FVOE. Gli operatori stabiliti in altri Stati membri caricano nel fascicolo virtuale i dati e le informazioni utili alla comprova del requisito, se disponibili.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Per l’operatore economico di altro Stato membro, non residente in Italia: secondo le modalità vigenti nello Stato nel quale è stabilito.</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b/>
          <w:bCs/>
          <w:sz w:val="24"/>
          <w:szCs w:val="24"/>
        </w:rPr>
        <w:t xml:space="preserve">9.2 Requisiti di capacità economica e finanziaria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Cambria" w:ascii="Cambria" w:hAnsi="Cambria"/>
          <w:b w:val="false"/>
          <w:strike w:val="false"/>
          <w:dstrike w:val="false"/>
          <w:sz w:val="22"/>
          <w:szCs w:val="22"/>
          <w:u w:val="none"/>
          <w:shd w:fill="auto" w:val="clear"/>
        </w:rPr>
        <w:t>fatturato minimo annuo per ciascun anno relativamente agli esercizi 2022/2023/2024, pari a € 200.000,00.</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La comprova del requisito è fornita mediante uno dei seguenti documenti: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 xml:space="preserve">per le società di capitali mediante bilanci, o estratti di essi, approvati alla data di scadenza del termine per la presentazione delle offerte corredati della nota integrativa;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per gli operatori economici costituiti in forma d’impresa individuale ovvero di società di persone mediante copia del Modello Unico o la Dichiarazione IVA;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dichiarazione resa, ai sensi e per gli effetti dell’articolo 47 del decreto del Presidente della Repubblica n. 445/2000, dal soggetto o organo preposto al controllo contabile della società ove presente (sia esso il Collegio sindacale, il revisore contabile o la società di revisione), attestante la misura (importo) del fatturato dichiarato in sede di partecipazione.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Per le imprese che abbiano iniziato l’attività da meno di tre anni, il requisito di fatturato è rapportato al periodo di attività effettivamente svolto. </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tabs>
          <w:tab w:val="clear" w:pos="720"/>
          <w:tab w:val="left" w:pos="284" w:leader="none"/>
        </w:tabs>
        <w:spacing w:before="1" w:after="0"/>
        <w:ind w:left="284" w:right="694" w:hanging="0"/>
        <w:jc w:val="both"/>
        <w:rPr>
          <w:highlight w:val="none"/>
          <w:shd w:fill="auto" w:val="clear"/>
        </w:rPr>
      </w:pPr>
      <w:r>
        <w:rPr>
          <w:rFonts w:cs="Times New Roman" w:ascii="Times New Roman" w:hAnsi="Times New Roman"/>
          <w:b/>
          <w:bCs/>
          <w:sz w:val="24"/>
          <w:szCs w:val="24"/>
          <w:shd w:fill="auto" w:val="clear"/>
        </w:rPr>
        <w:t xml:space="preserve">9.3 </w:t>
      </w:r>
      <w:r>
        <w:rPr>
          <w:rFonts w:cs="Times New Roman" w:ascii="Times New Roman" w:hAnsi="Times New Roman"/>
          <w:b/>
          <w:bCs/>
          <w:sz w:val="24"/>
          <w:szCs w:val="24"/>
          <w:shd w:fill="auto" w:val="clear"/>
        </w:rPr>
        <w:t>Requisiti di capacità tecnica e professional</w:t>
      </w:r>
      <w:r>
        <w:rPr>
          <w:rFonts w:cs="Times New Roman" w:ascii="Times New Roman" w:hAnsi="Times New Roman"/>
          <w:b/>
          <w:bCs/>
          <w:sz w:val="24"/>
          <w:szCs w:val="24"/>
          <w:shd w:fill="auto" w:val="clear"/>
        </w:rPr>
        <w:t>e</w:t>
      </w:r>
    </w:p>
    <w:p>
      <w:pPr>
        <w:pStyle w:val="TextBody"/>
        <w:tabs>
          <w:tab w:val="clear" w:pos="720"/>
          <w:tab w:val="left" w:pos="284" w:leader="none"/>
        </w:tabs>
        <w:spacing w:before="1" w:after="0"/>
        <w:ind w:left="284" w:right="694"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shd w:fill="auto" w:val="clear"/>
        </w:rPr>
        <w:t xml:space="preserve">• </w:t>
      </w:r>
      <w:r>
        <w:rPr>
          <w:rFonts w:eastAsia="Times New Roman" w:cs="Times New Roman" w:ascii="Times New Roman" w:hAnsi="Times New Roman"/>
          <w:b w:val="false"/>
          <w:strike w:val="false"/>
          <w:dstrike w:val="false"/>
          <w:color w:val="000000"/>
          <w:sz w:val="24"/>
          <w:szCs w:val="24"/>
          <w:u w:val="none"/>
          <w:shd w:fill="auto" w:val="clear"/>
          <w:lang w:eastAsia="it-IT"/>
        </w:rPr>
        <w:t>Esecuzione negli ultimi tre anni di servizi analoghi a quello oggetto del presente appalto in almeno un ente pubblico o privato per un importo complessivo almeno pari € 200.000 annui</w:t>
      </w:r>
      <w:r>
        <w:rPr>
          <w:rFonts w:cs="Times New Roman" w:ascii="Times New Roman" w:hAnsi="Times New Roman"/>
          <w:sz w:val="24"/>
          <w:szCs w:val="24"/>
        </w:rPr>
        <w:t xml:space="preserve">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La comprova del requisito è fornita mediante uno o più dei seguenti documenti: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certificati rilasciati dall’amministrazione/ente contraente, con l’indicazione dell’oggetto, dell’importo e del periodo di esecuzione;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contratti stipulati con le amministrazioni pubbliche, completi di copia delle fatture quietanzate ovvero dei documenti bancari attestanti il pagamento delle stesse;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attestazioni rilasciate dal committente privato, con l’indicazione dell’oggetto, dell’importo e del periodo di esecuzione;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contratti stipulati con privati, completi di copia delle fatture quietanzate ovvero dei documenti bancari attestanti il pagamento delle stesse.</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b/>
          <w:bCs/>
          <w:sz w:val="24"/>
          <w:szCs w:val="24"/>
        </w:rPr>
        <w:t>9.4 Indicazioni sui requisiti speciali nei raggruppamenti temporanei, consorzi ordinari, aggregazioni di imprese di rete, geie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I soggetti di cui all’articolo 65, comma 2, lettera e), f) g) e h) del Codice devono possedere i requisiti di ordine speciale nei termini di seguito indicati.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Alle aggregazioni di retisti, ai consorzi ordinari ed ai GEIE si applica la disciplina prevista per i raggruppamenti temporanei.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u w:val="single"/>
        </w:rPr>
        <w:t>Requisiti di idoneità professionale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requisito relativo all’iscrizione nel Registro delle Imprese  di cui di cui al punto deve essere posseduto: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da ciascun componente del raggruppamento/consorzio/GEIE anche da costituire, nonché dal GEIE medesimo;</w:t>
      </w:r>
    </w:p>
    <w:p>
      <w:pPr>
        <w:pStyle w:val="TextBody"/>
        <w:widowControl w:val="false"/>
        <w:tabs>
          <w:tab w:val="clear" w:pos="720"/>
          <w:tab w:val="left" w:pos="284" w:leader="none"/>
        </w:tabs>
        <w:suppressAutoHyphens w:val="true"/>
        <w:bidi w:val="0"/>
        <w:spacing w:before="1" w:after="0"/>
        <w:ind w:left="283" w:right="-57" w:hanging="0"/>
        <w:jc w:val="both"/>
        <w:rPr>
          <w:rFonts w:ascii="Times New Roman" w:hAnsi="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da ciascun componente dell’aggregazione di rete nonché dall’organo comune nel caso in cui questi abbia soggettività giuridica.</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u w:val="single"/>
        </w:rPr>
        <w:t>Requisiti di capacità economico finanziaria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requisito relativo al fatturato globale di cui al punto 7,2 deve essere soddisfatto dal raggruppamento temporaneo nel complesso.</w:t>
      </w:r>
    </w:p>
    <w:p>
      <w:pPr>
        <w:pStyle w:val="TextBody"/>
        <w:tabs>
          <w:tab w:val="clear" w:pos="720"/>
          <w:tab w:val="left" w:pos="284" w:leader="none"/>
        </w:tabs>
        <w:spacing w:before="1" w:after="0"/>
        <w:ind w:left="284" w:right="694"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u w:val="single"/>
        </w:rPr>
        <w:t>Requisiti di capacità tecnico-professionale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requisito dei servizi analoghi  di cui al precedente punto 7,3 richiesto in relazione all’oggetto dell’appalto deve essere posseduto dal raggruppamento nel complesso.</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Nel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 </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b/>
          <w:bCs/>
          <w:sz w:val="24"/>
          <w:szCs w:val="24"/>
        </w:rPr>
        <w:t xml:space="preserve">9.5 Indicazioni sui requisiti speciali nei consorzi di cooperative, consorzi di imprese artigiane, consorzi stabili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b w:val="false"/>
          <w:bCs w:val="false"/>
          <w:sz w:val="24"/>
          <w:szCs w:val="24"/>
          <w:u w:val="single"/>
        </w:rPr>
        <w:t>Requisiti di idoneità professionale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requisito relativo all’iscrizione nel Registro delle Imprese  di cui di cui al punto 0 deve essere posseduto dal consorzio e dai consorziati indicati come esecutori.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b w:val="false"/>
          <w:bCs w:val="false"/>
          <w:sz w:val="24"/>
          <w:szCs w:val="24"/>
          <w:u w:val="single"/>
        </w:rPr>
        <w:t>Requisiti di capacità economico finanziaria e tecnico-professionale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 consorzi di cui all’articolo 65, comma 2, lettera b) e c) del Codice, utilizzano i requisiti propri e, nel novero di questi, fanno valere i mezzi nella disponibilità delle consorziate che li costituiscono.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Per i consorzi di cui all’articolo 65, comma 2, lett. d) del Codice, i requisiti di capacità tecnica e finanziaria sono computati cumulativamente in capo al consorzio ancorché posseduti dalle singole consorziate.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Nel caso in cui un consorzio abbia estromesso o sostituito una consorziata poiché priva di un requisito di ordine speciale di cui all’articolo 100 del Codice, si valutano le misure adottate ai sensi dell’articolo 97 del Codice al fine di decidere sull’esclusione.</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b/>
          <w:bCs/>
          <w:sz w:val="24"/>
          <w:szCs w:val="24"/>
        </w:rPr>
        <w:t>10. AVVALIMENTO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concorrente può avvalersi di dotazioni tecniche, risorse umane e strumentali messe a disposizione da uno o più operatori economici ausiliari per dimostrare il possesso dei requisiti di ordine speciale di cui al punto 0 e/o per migliorare la propria offerta.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Nel contratto di avvalimento le parti specificano le risorse strumentali e umane che l’ausiliario mette a disposizione del concorrente e indicano se l’avvalimento è finalizzato ad acquisire un requisito di partecipazione o a migliorare l’offerta del concorrente, o se serve ad entrambe le finalità.</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Nei casi in cui l’avvalimento sia finalizzato a migliorare l’offerta, non è consentito che alla stessa gara partecipino sia l’ausiliario che l’operatore che si avvale delle risorse da questo a messe a disposizione, pena l’esclusione di entrambi i soggetti.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Ai sensi dell’articolo 372, comma 4 del codice della crisi di impresa e dell’insolvenza, per la partecipazione alla presente procedura tra il momento del deposito della domanda di cui all’articolo 40 del succitato codice e il momento del deposito del decreto previsto dall'articolo 47 del codice medesimo è sempre necessario l'avvalimento dei requisiti di un altro soggetto. L’avvalimento non è necessario in caso di ammissione al concordato preventivo.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concorrente e l’ausiliario sono responsabili in solido nei confronti della stazione appaltante in relazione alle prestazioni oggetto del contratto.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Non è consentito l’avvalimento per soddisfare i requisiti di ordine generale e dell’iscrizione alla Camera di commercio.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L’ausiliario deve:</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 possedere i requisiti previsti dall’articolo 0 e dichiararli presentando un proprio DGUE, da compilare nelle parti pertinenti;</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b) possedere i requisiti i di cui all’articolo 6 oggetto di avvalimento e dichiararli nel proprio DGUE, da compilare nelle parti pertinenti;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c) impegnarsi, verso il concorrente che si avvale e verso la stazione appaltante, a mettere a disposizione, per tutta la durata dell’appalto, le risorse (riferite a requisiti di partecipazione e/o premiali) oggetto di avvalimento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Il concorrente allega alla domanda di partecipazione il contratto di avvalimento, che deve essere nativo digitale e firmato digitalmente dalle parti, nonché le dichiarazioni dell’ausiliario.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È sanabile, mediante soccorso istruttorio, la mancata produzione delle dichiarazioni dell’ausiliario.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È sanabile, mediante soccorso istruttorio, la mancata produzione del contratto di avvalimento a condizione che il contratto sia stato stipulato prima del termine di presentazione dell’offerta e che tale circostanza sia comprovabile con data certa.</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Non è sanabile la mancata indicazione delle risorse messe a disposizione dall’ausiliario in quanto causa di nullità del contratto di avvalimento.</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 xml:space="preserve">Qualora per l’ausiliario sussistano motivi di esclusione o laddove esso non soddisfi i requisiti di ordine speciale, il concorrente sostituisce l’ausiliario entro … [indicare il numero dei giorni previsti] giorni decorrenti dal ricevimento della richiesta da parte della stazione appaltante. Contestualmente il concorrente produce i documenti richiesti per l’avvalimento. </w:t>
      </w:r>
    </w:p>
    <w:p>
      <w:pPr>
        <w:pStyle w:val="TextBody"/>
        <w:widowControl w:val="false"/>
        <w:tabs>
          <w:tab w:val="clear" w:pos="720"/>
          <w:tab w:val="left" w:pos="284" w:leader="none"/>
        </w:tabs>
        <w:suppressAutoHyphens w:val="true"/>
        <w:bidi w:val="0"/>
        <w:spacing w:before="1" w:after="0"/>
        <w:ind w:left="283" w:right="0" w:hanging="0"/>
        <w:jc w:val="both"/>
        <w:rPr>
          <w:rFonts w:ascii="Times New Roman" w:hAnsi="Times New Roman"/>
          <w:sz w:val="24"/>
          <w:szCs w:val="24"/>
        </w:rPr>
      </w:pPr>
      <w:r>
        <w:rPr>
          <w:rFonts w:cs="Times New Roman" w:ascii="Times New Roman" w:hAnsi="Times New Roman"/>
          <w:sz w:val="24"/>
          <w:szCs w:val="24"/>
        </w:rPr>
        <w:t>Nel caso in cui l’ausiliario si sia reso responsabile di una falsa dichiarazione sul possesso dei requisiti, la stazione appaltante procede a segnalare all’Autorità nazionale anticorruzione il comportamento tenuto dall’ausiliario per consentire le valutazioni di cui all’articolo 96, comma 15, del Codice. L’operatore economico può indicare un altro ausiliario nel termine di dieci giorni, pena l’esclusione dalla gara. La sostituzione può essere effettuata soltanto nel caso in cui non conduca a una modifica sostanziale dell’offerta. Il mancato rispetto del termine assegnato per la sostituzione comporta l’esclusione del concorrente</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tabs>
          <w:tab w:val="clear" w:pos="720"/>
          <w:tab w:val="left" w:pos="0" w:leader="none"/>
        </w:tabs>
        <w:suppressAutoHyphens w:val="true"/>
        <w:bidi w:val="0"/>
        <w:spacing w:before="0" w:after="0"/>
        <w:ind w:left="283" w:right="0" w:hanging="0"/>
        <w:jc w:val="both"/>
        <w:rPr>
          <w:rFonts w:ascii="Times New Roman" w:hAnsi="Times New Roman"/>
          <w:sz w:val="24"/>
          <w:szCs w:val="24"/>
        </w:rPr>
      </w:pPr>
      <w:r>
        <w:rPr>
          <w:rFonts w:eastAsia="Arial" w:ascii="Times New Roman" w:hAnsi="Times New Roman"/>
          <w:b/>
          <w:bCs/>
          <w:sz w:val="24"/>
          <w:szCs w:val="24"/>
        </w:rPr>
        <w:t>11. SUBAPPALTO</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Il concorrente indica le prestazioni che intende subappaltare o concedere in cottimo. In caso di mancata indicazione il subappalto è vietato.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Non può essere affidata in subappalto l’integrale esecuzione delle prestazioni oggetto del contratto nonché la prevalente esecuzione delle medesime.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L’aggiudicatario e il subappaltatore sono responsabili in solido nei confronti della stazione appaltante dell’esecuzione delle prestazioni oggetto del contratto di subappalto.</w:t>
      </w:r>
    </w:p>
    <w:p>
      <w:pPr>
        <w:pStyle w:val="Normal"/>
        <w:jc w:val="both"/>
        <w:rPr>
          <w:rFonts w:ascii="Times New Roman" w:hAnsi="Times New Roman" w:eastAsia="Arial" w:cs="Arial"/>
          <w:color w:val="000000"/>
          <w:sz w:val="24"/>
          <w:szCs w:val="24"/>
        </w:rPr>
      </w:pPr>
      <w:r>
        <w:rPr>
          <w:rFonts w:eastAsia="Arial" w:cs="Arial" w:ascii="Times New Roman" w:hAnsi="Times New Roman"/>
          <w:color w:val="000000"/>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bookmarkStart w:id="1" w:name="__RefHeading___Toc161667943"/>
      <w:bookmarkEnd w:id="1"/>
      <w:r>
        <w:rPr>
          <w:rFonts w:eastAsia="Arial" w:ascii="Times New Roman" w:hAnsi="Times New Roman"/>
          <w:b/>
          <w:bCs/>
          <w:sz w:val="24"/>
          <w:szCs w:val="24"/>
        </w:rPr>
        <w:t xml:space="preserve">12. </w:t>
      </w:r>
      <w:bookmarkStart w:id="2" w:name="_Ref132050689"/>
      <w:r>
        <w:rPr>
          <w:rFonts w:eastAsia="Arial" w:ascii="Times New Roman" w:hAnsi="Times New Roman"/>
          <w:b/>
          <w:bCs/>
          <w:sz w:val="24"/>
          <w:szCs w:val="24"/>
        </w:rPr>
        <w:t>REQUISITI DI PARTECIPAZIONE E/O CONDIZIONI DI ESECUZIONE</w:t>
      </w:r>
      <w:bookmarkEnd w:id="2"/>
    </w:p>
    <w:p>
      <w:pPr>
        <w:pStyle w:val="Normal"/>
        <w:widowControl w:val="false"/>
        <w:suppressAutoHyphens w:val="true"/>
        <w:bidi w:val="0"/>
        <w:spacing w:before="0" w:after="0"/>
        <w:ind w:left="283" w:right="0" w:hanging="0"/>
        <w:jc w:val="both"/>
        <w:rPr>
          <w:rFonts w:ascii="Times New Roman" w:hAnsi="Times New Roman"/>
          <w:sz w:val="24"/>
          <w:szCs w:val="24"/>
        </w:rPr>
      </w:pPr>
      <w:bookmarkStart w:id="3" w:name="_Hlk138154822"/>
      <w:bookmarkEnd w:id="3"/>
      <w:r>
        <w:rPr>
          <w:rFonts w:cs="Arial" w:ascii="Times New Roman" w:hAnsi="Times New Roman"/>
          <w:color w:val="000000"/>
          <w:sz w:val="24"/>
          <w:szCs w:val="24"/>
        </w:rPr>
        <w:t>L’aggiudicatario è tenuto a garantire l’applicazione del contratto collettivo nazionale e territoriale (o dei contratti collettivi nazionali e territoriali di settore)  oppure di un altro contratto che garantisca le stesse tutele economiche e normative per i propri lavoratori e per quelli in subappalto.</w:t>
      </w:r>
    </w:p>
    <w:p>
      <w:pPr>
        <w:pStyle w:val="Normal"/>
        <w:jc w:val="both"/>
        <w:rPr>
          <w:rFonts w:ascii="Times New Roman" w:hAnsi="Times New Roman" w:cs="Arial"/>
          <w:i/>
          <w:i/>
          <w:iCs/>
          <w:color w:val="000000"/>
          <w:sz w:val="24"/>
          <w:szCs w:val="24"/>
        </w:rPr>
      </w:pPr>
      <w:r>
        <w:rPr>
          <w:rFonts w:cs="Arial" w:ascii="Times New Roman" w:hAnsi="Times New Roman"/>
          <w:i/>
          <w:iCs/>
          <w:color w:val="000000"/>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Ferma restando la necessaria armonizzazione con la propria organizzazione e con le esigenze tecnico-organizzative e di manodopera previste nel nuovo contratto, l’aggiudicatario del contratto di appalto è tenuto a garantire la stabilità occupazionale del personale impiegato nel contratto, assorbendo prioritariamente nel proprio organico il personale già operante alle dipendenze dell’aggiudicatario uscente, garantendo le stesse tutele del CCNL indicato al punto 4.</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L’elenco e i dati relativi al personale attualmente impiegato dal contraente uscente per l’esecuzione del contratto sono riportati nell’allegato 3  e contiene il numero degli addetti con indicazione dei lavoratori svantaggiati ai sensi della legge n. 381/91, qualifica, livelli anzianità, sede di lavoro, monte ore, etc.</w:t>
      </w:r>
    </w:p>
    <w:p>
      <w:pPr>
        <w:pStyle w:val="Normal"/>
        <w:jc w:val="both"/>
        <w:rPr>
          <w:rFonts w:ascii="Times New Roman" w:hAnsi="Times New Roman" w:eastAsia="Arial" w:cs="Arial"/>
          <w:color w:val="000000"/>
          <w:sz w:val="24"/>
          <w:szCs w:val="24"/>
        </w:rPr>
      </w:pPr>
      <w:r>
        <w:rPr>
          <w:rFonts w:eastAsia="Arial" w:cs="Arial" w:ascii="Times New Roman" w:hAnsi="Times New Roman"/>
          <w:color w:val="000000"/>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eastAsia="Arial" w:ascii="Times New Roman" w:hAnsi="Times New Roman"/>
          <w:b/>
          <w:bCs/>
          <w:sz w:val="24"/>
          <w:szCs w:val="24"/>
        </w:rPr>
        <w:t>13. GARANZIA PROVVISORIA</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L’offerta è corredata, a pena di esclusione, da una garanzia provvisoria in favore della S.A. calcolata ai sensi dell’art.106 del D.Lgs 36/2023 pari a 2% del valore complessivo dell’appalto.</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Si applicano le riduzioni di cui all’articolo 106, comma 8 del Codice.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La garanzia provvisoria è costituita, a scelta del concorrente sotto forma di cauzione o di fideiussione: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-La cauzione è costituita mediante accredito, con bonifico o con altri strumenti e canali di pagamento elettronici, presso il conto intestato all’Ente IBAN: IT33N0503431110000000080002</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-La fideiussione può essere rilasciata:</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da imprese bancarie o assicurative che rispondono ai requisiti di solvibilità previsti dalle leggi che ne disciplinano le rispettive attività;</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da un intermediario finanziario iscritto nell'albo di cui all'articolo 106 del decreto legislativo 1 settembre 1993, n. 385, che svolge in via esclusiva o prevalente attività di rilascio di garanzie, che è sottoposto a revisione contabile da parte di una società di revisione iscritta nell'albo previsto dall'articolo 161 del decreto legislativo 24 febbraio 1998, n. 58; e che abbia i requisiti minimi di solvibilità richiesti dalla vigente normativa bancaria assicurativa.</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Gli operatori economici, prima di procedere alla sottoscrizione della garanzia, sono tenuti a verificare che il soggetto garante sia in possesso dell’autorizzazione al rilascio di garanzie mediante accesso ai seguenti siti internet:</w:t>
      </w:r>
    </w:p>
    <w:p>
      <w:pPr>
        <w:pStyle w:val="Normal"/>
        <w:widowControl w:val="false"/>
        <w:suppressAutoHyphens w:val="true"/>
        <w:bidi w:val="0"/>
        <w:spacing w:before="0" w:after="0"/>
        <w:ind w:left="283" w:right="0" w:hanging="0"/>
        <w:jc w:val="both"/>
        <w:rPr/>
      </w:pPr>
      <w:hyperlink r:id="rId2">
        <w:r>
          <w:rPr>
            <w:rStyle w:val="InternetLink"/>
            <w:rFonts w:cs="Arial" w:ascii="Times New Roman" w:hAnsi="Times New Roman"/>
            <w:color w:val="000000"/>
            <w:sz w:val="24"/>
            <w:szCs w:val="24"/>
          </w:rPr>
          <w:t>http://www.bancaditalia.it/compiti/vigilanza/intermediari/index.html</w:t>
        </w:r>
      </w:hyperlink>
      <w:r>
        <w:rPr>
          <w:rFonts w:cs="Arial" w:ascii="Times New Roman" w:hAnsi="Times New Roman"/>
          <w:color w:val="000000"/>
          <w:sz w:val="24"/>
          <w:szCs w:val="24"/>
        </w:rPr>
        <w:t xml:space="preserve"> </w:t>
      </w:r>
    </w:p>
    <w:p>
      <w:pPr>
        <w:pStyle w:val="Normal"/>
        <w:widowControl w:val="false"/>
        <w:suppressAutoHyphens w:val="true"/>
        <w:bidi w:val="0"/>
        <w:spacing w:before="0" w:after="0"/>
        <w:ind w:left="283" w:right="0" w:hanging="0"/>
        <w:jc w:val="both"/>
        <w:rPr/>
      </w:pPr>
      <w:hyperlink r:id="rId3">
        <w:r>
          <w:rPr>
            <w:rStyle w:val="InternetLink"/>
            <w:rFonts w:cs="Arial" w:ascii="Times New Roman" w:hAnsi="Times New Roman"/>
            <w:color w:val="000000"/>
            <w:sz w:val="24"/>
            <w:szCs w:val="24"/>
          </w:rPr>
          <w:t>http://www.bancaditalia.it/compiti/vigilanza/avvisi-pub/garanzie-finanziarie/</w:t>
        </w:r>
      </w:hyperlink>
      <w:r>
        <w:rPr>
          <w:rFonts w:cs="Arial" w:ascii="Times New Roman" w:hAnsi="Times New Roman"/>
          <w:color w:val="000000"/>
          <w:sz w:val="24"/>
          <w:szCs w:val="24"/>
        </w:rPr>
        <w:t xml:space="preserve"> </w:t>
      </w:r>
    </w:p>
    <w:p>
      <w:pPr>
        <w:pStyle w:val="Normal"/>
        <w:widowControl w:val="false"/>
        <w:suppressAutoHyphens w:val="true"/>
        <w:bidi w:val="0"/>
        <w:spacing w:before="0" w:after="0"/>
        <w:ind w:left="283" w:right="0" w:hanging="0"/>
        <w:jc w:val="both"/>
        <w:rPr/>
      </w:pPr>
      <w:hyperlink r:id="rId4">
        <w:r>
          <w:rPr>
            <w:rStyle w:val="InternetLink"/>
            <w:rFonts w:cs="Arial" w:ascii="Times New Roman" w:hAnsi="Times New Roman"/>
            <w:color w:val="000000"/>
            <w:sz w:val="24"/>
            <w:szCs w:val="24"/>
          </w:rPr>
          <w:t>http://www.ivass.it/ivass/imprese_jsp/HomePage.jsp</w:t>
        </w:r>
      </w:hyperlink>
      <w:r>
        <w:rPr>
          <w:rFonts w:cs="Arial" w:ascii="Times New Roman" w:hAnsi="Times New Roman"/>
          <w:color w:val="000000"/>
          <w:sz w:val="24"/>
          <w:szCs w:val="24"/>
        </w:rPr>
        <w:t xml:space="preserve">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La garanzia fideiussoria deve essere emessa e firmata digitalmente da un soggetto in possesso dei poteri necessari per impegnare il garante.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Al fine di consentire la verifica di veridicità e autenticità della polizza, l’operatore economico, all’atto della sottoscrizione della garanzia acquisisce dal garante l’indirizzo internet cui è possibile accedere per effettuare la verifica telematica della garanzia in tempo reale. Il sito internet messo a disposizione dal garante assicura il rispetto della normativa vigente, anche in materia di privacy, e consente l’accesso esclusivamente alla stazione appaltante procedente, in relazione alla garanzia presentata nella specifica gara. A tal fine richiede idonea identificazione a mezzo SPID e subordina l’accesso all’inserimento di informazioni qualificanti (es. CIG riferito alla procedura di gara, importo della garanzia, nominativo del concorrente).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Nel caso in cui il garante non disponga di un sito internet con le caratteristiche suindicate, fornisce un indirizzo PEC dedicato cui le stazioni appaltanti e gli enti concedenti inviano la polizza presentata in gara, in formato pdf, per il riscontro di autenticità e veridicità.</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Le imprese di assicurazione comunitarie operanti in Italia in regime di libera prestazione di servizi che non dispongano di un sito internet per la verifica delle garanzie rilasciate, nelle more della disponibilità della PEC europea, si dotano di un indirizzo PEC italiano.</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L’indirizzo internet o l’eventuale indirizzo PEC da utilizzare ai fini delle verifiche sono indicati dal garante nella documentazione contrattuale o, in mancanza, riportati dall’operatore economico nella domanda di partecipazione. La mancata indicazione è sanabile con la procedura di soccorso istruttorio, purché la garanzia sia stata emessa prima della scadenza del termine per la presentazione delle offerte.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Nel caso di utilizzo della verifica a mezzo PEC, l’operatore economico acquisisce l’impegno del garante a riscontrare le richieste pervenute dalla stazione appaltante nel termine massimo di cinque giorni lavorativi.</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Le stazioni appaltanti e gli enti concedenti segnalano all’IVASS i casi di di perduranti ritardi/mancate risposte da parte delle imprese di assicurazione alle richieste di verifica. (DELIBERA ANAC N. 606 19 dicembre 2023).</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La fideiussione deve: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contenere espressa menzione dell’oggetto del contratto di appalto e del soggetto garantito (stazione appaltante);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essere intestata a tutti gli operatori economici del costituito/costituendo raggruppamento temporaneo o consorzio ordinario o GEIE, ovvero a tutte le imprese retiste che partecipano alla gara ovvero, in caso di consorzi di cui all’articolo 65, comma 2 lettere b), c), d) del Codice, al solo consorzio;</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essere conforme allo schema tipo approvato con decreto del Ministro dello sviluppo economico del 16 settembre 2022 n. 193;</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 xml:space="preserve">avere validità per almeno 180 gg. - ovvero altro termine indicato dalla stazione appaltante in relazione alla durata prevista per il procedimento - dalla data di presentazione dell’offerta;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La fideiussione deve, inoltre, prevedere espressamente: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 xml:space="preserve">la rinuncia al beneficio della preventiva escussione del debitore principale di cui all’articolo 1944 del Codice civile;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 xml:space="preserve">la rinuncia ad eccepire la decorrenza dei termini di cui all’articolo 1957, secondo comma, del Codice civile;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 xml:space="preserve">l’operatività della stessa entro quindici giorni a semplice richiesta scritta della stazione appaltante. </w:t>
      </w:r>
    </w:p>
    <w:p>
      <w:pPr>
        <w:pStyle w:val="Normal"/>
        <w:widowControl w:val="false"/>
        <w:suppressAutoHyphens w:val="true"/>
        <w:bidi w:val="0"/>
        <w:spacing w:before="0" w:after="0"/>
        <w:ind w:left="283" w:right="57"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57" w:hanging="0"/>
        <w:jc w:val="both"/>
        <w:rPr>
          <w:rFonts w:ascii="Times New Roman" w:hAnsi="Times New Roman"/>
          <w:sz w:val="24"/>
          <w:szCs w:val="24"/>
        </w:rPr>
      </w:pPr>
      <w:r>
        <w:rPr>
          <w:rFonts w:cs="Arial" w:ascii="Times New Roman" w:hAnsi="Times New Roman"/>
          <w:color w:val="000000"/>
          <w:sz w:val="24"/>
          <w:szCs w:val="24"/>
        </w:rPr>
        <w:t>In caso di richiesta di estensione della durata e validità dell’offerta e della garanzia fideiussoria, il concorrente potrà produrre nelle medesime forme di cui sopra una nuova garanzia provvisoria del medesimo o di altro garante, in sostituzione della precedente, a condizione che abbia espressa decorrenza dalla data di presentazione dell’offerta.</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Ai sensi dell’art. 106, comma 8, del Codice l’importo della garanzia è ridotto nei termini di seguito indicati:</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Riduzione del 30% in caso di possesso della certificazione di qualità conforme alle norme europee della serie UNI CEI ISO 9000. In caso di partecipazione in forma associata, la riduzione si ottiene: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per i soggetti di cui all’articolo 65, comma 2, lettere e), f), g), h) del Codice solo se tutti soggetti che costituiscono il raggruppamento, consorzio ordinario o GEIE, o tutte le imprese retiste che partecipano alla gara siano in possesso della certificazione;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 xml:space="preserve">per i consorzi di cui all’articolo 65, comma 2, lettere b), c), d) del Codice, se il Consorzio ha dichiarato in fase di offerta che intende eseguire con risorse proprie, solo se il Consorzio possiede la predetta certificazione;  se  il Consorzio ha indicato in fase di offerta che intende assegnare parte delle prestazioni a una o più consorziate individuate nell’offerta, solo se sia il Consorzio sia la consorziata designata posseggono la predetta certificazione, o in alternativa, se il solo Consorzio possiede la predetta certificazione e l’ambito di certificazione del suo sistema gestionale include la verifica che l’erogazione della prestazione da parte della consorziata rispetti gli standard fissati dalla certificazione.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    • </w:t>
      </w:r>
      <w:r>
        <w:rPr>
          <w:rFonts w:cs="Arial" w:ascii="Times New Roman" w:hAnsi="Times New Roman"/>
          <w:color w:val="000000"/>
          <w:sz w:val="24"/>
          <w:szCs w:val="24"/>
        </w:rPr>
        <w:t>Riduzione del 50% in caso di partecipazione di micro, piccole e medie imprese e di raggruppamenti di operatori economici o consorzi ordinari costituiti esclusivamente da micro, piccole e medie imprese. Tale riduzione non è cumulabile con quella indicata alla lett. a).</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Per fruire delle riduzioni di cui all’articolo 106, comma 8 del Codice, il concorrente dichiara nella domanda di partecipazione il possesso delle certificazioni e inserisce copia delle certificazioni possedute qualora non già presenti nel fascicolo virtuale.</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È sanabile, mediante soccorso istruttorio, la mancata presentazione della garanzia provvisoria solo a condizione che sia stata già costituita prima della presentazione dell’offerta.  </w:t>
      </w:r>
    </w:p>
    <w:p>
      <w:pPr>
        <w:pStyle w:val="Normal"/>
        <w:widowControl w:val="false"/>
        <w:suppressAutoHyphens w:val="true"/>
        <w:bidi w:val="0"/>
        <w:spacing w:before="0" w:after="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283" w:right="0" w:hanging="0"/>
        <w:jc w:val="both"/>
        <w:rPr>
          <w:rFonts w:ascii="Times New Roman" w:hAnsi="Times New Roman"/>
          <w:sz w:val="24"/>
          <w:szCs w:val="24"/>
        </w:rPr>
      </w:pPr>
      <w:r>
        <w:rPr>
          <w:rFonts w:cs="Arial" w:ascii="Times New Roman" w:hAnsi="Times New Roman"/>
          <w:color w:val="000000"/>
          <w:sz w:val="24"/>
          <w:szCs w:val="24"/>
        </w:rPr>
        <w:t xml:space="preserve">Non è sanabile - e quindi è causa di esclusione - la sottoscrizione della garanzia provvisoria da parte di un soggetto non legittimato a rilasciare la garanzia o non autorizzato ad impegnare il garante. </w:t>
      </w:r>
    </w:p>
    <w:p>
      <w:pPr>
        <w:pStyle w:val="Normal"/>
        <w:jc w:val="both"/>
        <w:rPr>
          <w:rFonts w:ascii="Times New Roman" w:hAnsi="Times New Roman" w:eastAsia="Arial" w:cs="Arial"/>
          <w:color w:val="000000"/>
          <w:sz w:val="24"/>
          <w:szCs w:val="24"/>
        </w:rPr>
      </w:pPr>
      <w:r>
        <w:rPr>
          <w:rFonts w:eastAsia="Arial" w:cs="Arial" w:ascii="Times New Roman" w:hAnsi="Times New Roman"/>
          <w:color w:val="000000"/>
          <w:sz w:val="24"/>
          <w:szCs w:val="24"/>
        </w:rPr>
      </w:r>
    </w:p>
    <w:p>
      <w:pPr>
        <w:pStyle w:val="Normal"/>
        <w:widowControl w:val="false"/>
        <w:suppressAutoHyphens w:val="true"/>
        <w:bidi w:val="0"/>
        <w:spacing w:before="0" w:after="0"/>
        <w:ind w:left="454" w:right="0" w:hanging="0"/>
        <w:jc w:val="both"/>
        <w:rPr>
          <w:rFonts w:ascii="Times New Roman" w:hAnsi="Times New Roman"/>
          <w:sz w:val="24"/>
          <w:szCs w:val="24"/>
        </w:rPr>
      </w:pPr>
      <w:r>
        <w:rPr>
          <w:rFonts w:eastAsia="Arial" w:ascii="Times New Roman" w:hAnsi="Times New Roman"/>
          <w:b/>
          <w:bCs/>
          <w:sz w:val="24"/>
          <w:szCs w:val="24"/>
        </w:rPr>
        <w:t>14. PAGAMENTO DEL CONTRIBUTO A FAVORE DELL’ANAC</w:t>
      </w:r>
    </w:p>
    <w:p>
      <w:pPr>
        <w:pStyle w:val="Normal"/>
        <w:widowControl w:val="false"/>
        <w:suppressAutoHyphens w:val="true"/>
        <w:bidi w:val="0"/>
        <w:spacing w:before="0" w:after="0"/>
        <w:ind w:left="454" w:right="0" w:hanging="0"/>
        <w:jc w:val="both"/>
        <w:rPr>
          <w:rFonts w:ascii="Times New Roman" w:hAnsi="Times New Roman"/>
          <w:sz w:val="24"/>
          <w:szCs w:val="24"/>
        </w:rPr>
      </w:pPr>
      <w:r>
        <w:rPr>
          <w:rFonts w:cs="Arial" w:ascii="Times New Roman" w:hAnsi="Times New Roman"/>
          <w:color w:val="000000"/>
          <w:sz w:val="24"/>
          <w:szCs w:val="24"/>
        </w:rPr>
        <w:t>I concorrenti effettuano il pagamento del contributo previsto dalla legge in favore dell’Autorità Nazionale Anticorruzione per un importo pari a € 77,00 di cui alla delibera ANAC n. 610 del 19 dicembre 2023, con le modalità previste nel nuovo servizio di Gestione Contributi Gara (GCG).</w:t>
      </w:r>
    </w:p>
    <w:p>
      <w:pPr>
        <w:pStyle w:val="Normal"/>
        <w:widowControl w:val="false"/>
        <w:suppressAutoHyphens w:val="true"/>
        <w:bidi w:val="0"/>
        <w:spacing w:before="0" w:after="0"/>
        <w:ind w:left="454" w:right="0" w:hanging="0"/>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widowControl w:val="false"/>
        <w:suppressAutoHyphens w:val="true"/>
        <w:bidi w:val="0"/>
        <w:spacing w:before="0" w:after="0"/>
        <w:ind w:left="454" w:right="0" w:hanging="0"/>
        <w:jc w:val="both"/>
        <w:rPr>
          <w:rFonts w:ascii="Times New Roman" w:hAnsi="Times New Roman"/>
          <w:sz w:val="24"/>
          <w:szCs w:val="24"/>
        </w:rPr>
      </w:pPr>
      <w:r>
        <w:rPr>
          <w:rFonts w:cs="Arial" w:ascii="Times New Roman" w:hAnsi="Times New Roman"/>
          <w:color w:val="000000"/>
          <w:sz w:val="24"/>
          <w:szCs w:val="24"/>
        </w:rPr>
        <w:t>Il pagamento del contributo è condizione di ammissibilità dell’offerta. Il pagamento è verificato mediante il FVOE. In caso di esito negativo della verifica, è attivata la procedura di soccorso istruttorio. In caso di mancata regolarizzazione nel termine assegnato, l’offerta è dichiarata inammissibile.</w:t>
      </w:r>
    </w:p>
    <w:p>
      <w:pPr>
        <w:pStyle w:val="Normal"/>
        <w:widowControl w:val="false"/>
        <w:suppressAutoHyphens w:val="true"/>
        <w:bidi w:val="0"/>
        <w:spacing w:before="0" w:after="0"/>
        <w:ind w:left="454" w:right="0" w:hanging="0"/>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widowControl w:val="false"/>
        <w:suppressAutoHyphens w:val="true"/>
        <w:bidi w:val="0"/>
        <w:spacing w:before="0" w:after="0"/>
        <w:ind w:left="454" w:right="0" w:hanging="0"/>
        <w:jc w:val="both"/>
        <w:rPr>
          <w:rFonts w:ascii="Times New Roman" w:hAnsi="Times New Roman"/>
          <w:sz w:val="24"/>
          <w:szCs w:val="24"/>
        </w:rPr>
      </w:pPr>
      <w:r>
        <w:rPr>
          <w:rFonts w:cs="Arial" w:ascii="Times New Roman" w:hAnsi="Times New Roman"/>
          <w:color w:val="000000"/>
          <w:sz w:val="24"/>
          <w:szCs w:val="24"/>
        </w:rPr>
        <w:t>Le Indicazioni operative sulle modalità di pagamento del contributo sono disponibili sul sito dell’Autorità Nazionale Anticorruzione al seguente link: https://www.anticorruzione.it/-/portale- dei-pagamenti-di-anac.</w:t>
      </w:r>
    </w:p>
    <w:p>
      <w:pPr>
        <w:pStyle w:val="Normal"/>
        <w:widowControl w:val="false"/>
        <w:suppressAutoHyphens w:val="true"/>
        <w:bidi w:val="0"/>
        <w:spacing w:before="0" w:after="0"/>
        <w:ind w:left="454" w:right="0" w:hanging="0"/>
        <w:jc w:val="both"/>
        <w:rPr>
          <w:rFonts w:ascii="Times New Roman" w:hAnsi="Times New Roman" w:cs="Arial"/>
          <w:color w:val="000000"/>
          <w:sz w:val="24"/>
          <w:szCs w:val="24"/>
        </w:rPr>
      </w:pPr>
      <w:r>
        <w:rPr>
          <w:rFonts w:cs="Arial" w:ascii="Times New Roman" w:hAnsi="Times New Roman"/>
          <w:color w:val="000000"/>
          <w:sz w:val="24"/>
          <w:szCs w:val="24"/>
        </w:rPr>
      </w:r>
    </w:p>
    <w:p>
      <w:pPr>
        <w:pStyle w:val="Normal"/>
        <w:widowControl w:val="false"/>
        <w:suppressAutoHyphens w:val="true"/>
        <w:bidi w:val="0"/>
        <w:spacing w:before="0" w:after="0"/>
        <w:ind w:left="454" w:right="0" w:hanging="0"/>
        <w:jc w:val="both"/>
        <w:rPr>
          <w:rFonts w:ascii="Times New Roman" w:hAnsi="Times New Roman"/>
          <w:sz w:val="24"/>
          <w:szCs w:val="24"/>
        </w:rPr>
      </w:pPr>
      <w:r>
        <w:rPr>
          <w:rFonts w:cs="Arial" w:ascii="Times New Roman" w:hAnsi="Times New Roman"/>
          <w:color w:val="000000"/>
          <w:sz w:val="24"/>
          <w:szCs w:val="24"/>
        </w:rPr>
        <w:t>L'importo del contributo è calcolato sul valore stimato d'appalto comprensivo delle eventuali opzioni contrattuali previste nella documentazione di gara.</w:t>
      </w:r>
    </w:p>
    <w:p>
      <w:pPr>
        <w:pStyle w:val="TextBody"/>
        <w:tabs>
          <w:tab w:val="clear" w:pos="720"/>
          <w:tab w:val="left" w:pos="284" w:leader="none"/>
        </w:tabs>
        <w:spacing w:before="1"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left"/>
        <w:rPr>
          <w:rFonts w:ascii="Times New Roman" w:hAnsi="Times New Roman"/>
          <w:sz w:val="24"/>
          <w:szCs w:val="24"/>
        </w:rPr>
      </w:pPr>
      <w:r>
        <w:rPr>
          <w:rFonts w:cs="Times New Roman" w:ascii="Times New Roman" w:hAnsi="Times New Roman"/>
          <w:b/>
          <w:bCs/>
          <w:sz w:val="24"/>
          <w:szCs w:val="24"/>
          <w:highlight w:val="white"/>
          <w:lang w:bidi="it-IT"/>
        </w:rPr>
        <w:t>15 - MODALITÀ DI PRESENTAZIONE DELL’OFFERTA E SOTTOSCRIZIONE DEI DOCUMENTI DI GARA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L’offerta e la documentazione relativa alla procedura devono essere presentate esclusivamente attraverso la Piattaforma. Non sono considerate valide le offerte presentate attraverso modalità diverse da quelle previste nel presente disciplinare.</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L’offerta e la documentazione di gara, ove indicato, devono essere sottoscritte con firma digitale o altra firma elettronica qualificata o firma elettronica avanzata.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Le dichiarazioni sostitutive si redigono ai sensi degli articoli 19, 46 e 47 del Decreto del Presidente della Repubblica n. 445/2000.</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 xml:space="preserve"> </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La documentazione presentata in copia viene prodotta ai sensi del Decreto Legislativo n. 82/05.</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L’offerta deve pervenire entro e non oltre le ore 10 del giorno 03 marzo 2025 a pena di irricevibilità. La Piattaforma non accetta offerte presentate dopo la data e l’orario stabiliti come termine ultimo di presentazione dell’offerta.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Per l’individuazione di data e ora di arrivo dell’offerta fa fede l’orario registrato dalla Piattaforma.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Le operazioni di inserimento sulla Piattaforma di tutta la documentazione richiesta rimangono ad esclusivo rischio del concorrente. Si invitano pertanto i concorrenti ad avviare tali attività con congruo anticipo rispetto alla scadenza prevista onde evitare la non completa e quindi mancata trasmissione dell’offerta entro il termine previsto.</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Qualora si verifichi un mancato funzionamento o un malfunzionamento della Piattaforma si applica quanto previsto all’articolo 1.</w:t>
      </w:r>
    </w:p>
    <w:p>
      <w:pPr>
        <w:pStyle w:val="ListParagraph"/>
        <w:widowControl w:val="false"/>
        <w:numPr>
          <w:ilvl w:val="0"/>
          <w:numId w:val="0"/>
        </w:numPr>
        <w:tabs>
          <w:tab w:val="clear" w:pos="720"/>
          <w:tab w:val="left" w:pos="284" w:leader="none"/>
        </w:tabs>
        <w:suppressAutoHyphens w:val="true"/>
        <w:bidi w:val="0"/>
        <w:spacing w:before="1" w:after="0"/>
        <w:ind w:left="454" w:right="68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680" w:hanging="0"/>
        <w:jc w:val="both"/>
        <w:rPr>
          <w:rFonts w:ascii="Times New Roman" w:hAnsi="Times New Roman"/>
          <w:sz w:val="24"/>
          <w:szCs w:val="24"/>
        </w:rPr>
      </w:pPr>
      <w:r>
        <w:rPr>
          <w:rFonts w:cs="Times New Roman" w:ascii="Times New Roman" w:hAnsi="Times New Roman"/>
          <w:b/>
          <w:bCs/>
          <w:sz w:val="24"/>
          <w:szCs w:val="24"/>
          <w:highlight w:val="white"/>
          <w:lang w:bidi="it-IT"/>
        </w:rPr>
        <w:t>15.1 REGOLE PER LA PRESENTAZIONE DELL’OFFERTA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L’“OFFERTA” è composta da: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 xml:space="preserve">A – Documentazione amministrativa; </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B – Offerta tecnica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C – Offerta economica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L’operatore economico ha facoltà di inserire nella Piattaforma offerte successive che sostituiscono la precedente, ovvero ritirare l’offerta presentata, nel periodo di tempo compreso tra la data e ora di inizio e la data e ora di chiusura della fase di presentazione delle offerte. La stazione appaltante considera esclusivamente l’ultima offerta presentata.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Si precisa inoltre che:</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 xml:space="preserve">    • </w:t>
      </w:r>
      <w:r>
        <w:rPr>
          <w:rFonts w:cs="Times New Roman" w:ascii="Times New Roman" w:hAnsi="Times New Roman"/>
          <w:b w:val="false"/>
          <w:bCs w:val="false"/>
          <w:sz w:val="24"/>
          <w:szCs w:val="24"/>
          <w:highlight w:val="white"/>
          <w:lang w:bidi="it-IT"/>
        </w:rPr>
        <w:t>l’offerta è vincolante per il concorrente;</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 xml:space="preserve">    • </w:t>
      </w:r>
      <w:r>
        <w:rPr>
          <w:rFonts w:cs="Times New Roman" w:ascii="Times New Roman" w:hAnsi="Times New Roman"/>
          <w:b w:val="false"/>
          <w:bCs w:val="false"/>
          <w:sz w:val="24"/>
          <w:szCs w:val="24"/>
          <w:highlight w:val="white"/>
          <w:lang w:bidi="it-IT"/>
        </w:rPr>
        <w:t>con la trasmissione dell’offerta, il concorrente accetta tutta la documentazione di gara, allegati e chiarimenti inclusi.</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 xml:space="preserve">          </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La Piattaforma consente al concorrente di visualizzare l’avvenuta trasmissione della domanda.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Il concorrente che intenda partecipare in forma associata (per esempio raggruppamento temporaneo di imprese/Consorzi, sia costituiti che costituendi) in sede di presentazione dell’offerta indica la forma di partecipazione e indica gli operatori economici riuniti o consorziati.</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Tutta la documentazione da produrre deve essere in lingua italiana.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L’offerta vincola il concorrente per 180 giorni dalla scadenza del termine indicato per la presentazione dell’offerta.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Nel caso in cui alla data di scadenza della validità delle offerte le operazioni di gara siano ancora in corso, sarà richiesto agli offerenti di confermare la validità dell’offerta sino alla data indicata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Il mancato riscontro alla richiesta della stazione appaltante entro il termine fissato da quest’ultima o comunque in tempo utile alla celere prosecuzione della procedura è considerato come rinuncia del concorrente alla partecipazione alla gara.</w:t>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widowControl w:val="false"/>
        <w:numPr>
          <w:ilvl w:val="0"/>
          <w:numId w:val="0"/>
        </w:numPr>
        <w:tabs>
          <w:tab w:val="clear" w:pos="720"/>
          <w:tab w:val="left" w:pos="284" w:leader="none"/>
        </w:tabs>
        <w:suppressAutoHyphens w:val="true"/>
        <w:bidi w:val="0"/>
        <w:spacing w:before="1" w:after="0"/>
        <w:ind w:left="454" w:right="0" w:hanging="0"/>
        <w:jc w:val="both"/>
        <w:rPr>
          <w:rFonts w:ascii="Times New Roman" w:hAnsi="Times New Roman"/>
          <w:sz w:val="24"/>
          <w:szCs w:val="24"/>
        </w:rPr>
      </w:pPr>
      <w:r>
        <w:rPr>
          <w:rFonts w:cs="Times New Roman" w:ascii="Times New Roman" w:hAnsi="Times New Roman"/>
          <w:b w:val="false"/>
          <w:bCs w:val="false"/>
          <w:sz w:val="24"/>
          <w:szCs w:val="24"/>
          <w:highlight w:val="white"/>
          <w:lang w:bidi="it-IT"/>
        </w:rPr>
        <w:t>Il concorrente che intenda partecipare in forma associata (per esempio raggruppamento temporaneo di imprese/Consorzi, sia costituiti che costituendi) in sede di presentazione dell’offerta indica la forma di partecipazione e indica gli operatori economici riuniti o consorziati.</w:t>
      </w:r>
    </w:p>
    <w:p>
      <w:pPr>
        <w:pStyle w:val="Default"/>
        <w:widowControl w:val="false"/>
        <w:tabs>
          <w:tab w:val="clear" w:pos="720"/>
          <w:tab w:val="left" w:pos="284" w:leader="none"/>
          <w:tab w:val="left" w:pos="10089" w:leader="none"/>
        </w:tabs>
        <w:suppressAutoHyphens w:val="true"/>
        <w:bidi w:val="0"/>
        <w:spacing w:before="0" w:after="0"/>
        <w:ind w:left="283" w:right="0" w:hanging="0"/>
        <w:jc w:val="both"/>
        <w:rPr>
          <w:rFonts w:ascii="Times New Roman" w:hAnsi="Times New Roman" w:cs="Times New Roman"/>
          <w:sz w:val="24"/>
          <w:szCs w:val="24"/>
          <w:highlight w:val="white"/>
          <w:lang w:bidi="it-IT"/>
        </w:rPr>
      </w:pPr>
      <w:r>
        <w:rPr>
          <w:rFonts w:cs="Times New Roman"/>
          <w:sz w:val="24"/>
          <w:szCs w:val="24"/>
          <w:highlight w:val="white"/>
          <w:lang w:bidi="it-IT"/>
        </w:rPr>
      </w:r>
    </w:p>
    <w:p>
      <w:pPr>
        <w:pStyle w:val="Default"/>
        <w:tabs>
          <w:tab w:val="clear" w:pos="720"/>
          <w:tab w:val="left" w:pos="284" w:leader="none"/>
        </w:tabs>
        <w:ind w:left="284" w:right="694" w:hanging="0"/>
        <w:jc w:val="both"/>
        <w:rPr>
          <w:rFonts w:ascii="Times New Roman" w:hAnsi="Times New Roman" w:cs="Times New Roman"/>
          <w:sz w:val="24"/>
          <w:szCs w:val="24"/>
          <w:highlight w:val="white"/>
          <w:lang w:bidi="it-IT"/>
        </w:rPr>
      </w:pPr>
      <w:r>
        <w:rPr>
          <w:rFonts w:cs="Times New Roman"/>
          <w:sz w:val="24"/>
          <w:szCs w:val="24"/>
          <w:highlight w:val="white"/>
          <w:lang w:bidi="it-IT"/>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eastAsia="Cambria" w:cs="Times New Roman" w:ascii="Times New Roman" w:hAnsi="Times New Roman"/>
          <w:b/>
          <w:bCs/>
          <w:color w:val="auto"/>
          <w:kern w:val="0"/>
          <w:sz w:val="24"/>
          <w:szCs w:val="24"/>
          <w:lang w:val="it-IT" w:eastAsia="en-US" w:bidi="ar-SA"/>
        </w:rPr>
        <w:t>17.  DOCUMENTAZIONE AMMINISTRATIVA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busta telematica “Documentazione Amministrativa” contiene: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2) DGUE elettronico;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3) eventuale procura;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4) garanzia provvisoria;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5) documentazione in caso di avvalimento;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6) documentazione per i soggetti associati;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7) patto di integrità;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8) informativa al trattamento dei dati personali;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9) contributo ANAC. </w:t>
      </w:r>
    </w:p>
    <w:p>
      <w:pPr>
        <w:pStyle w:val="Normal"/>
        <w:widowControl w:val="false"/>
        <w:suppressAutoHyphens w:val="true"/>
        <w:bidi w:val="0"/>
        <w:spacing w:before="0" w:after="0"/>
        <w:ind w:left="340" w:right="567"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b/>
          <w:bCs/>
          <w:sz w:val="24"/>
          <w:szCs w:val="24"/>
        </w:rPr>
        <w:t>17.1 DOMANDA DI PARTECIPAZIONE ED EVENTUALE PROCURA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domanda di partecipazione è redatta secondo il modello di cui all’allegato n.1 – domanda di partecipazione.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Le dichiarazioni in ordine all’insussistenza delle cause automatiche di esclusione di cui all’articolo 94 commi 1 e 2 del Codice sono rese dall’operatore economico in relazione a tutti i soggetti indicati al comma 3.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Le dichiarazioni in ordine all’insussistenza delle cause non automatiche di esclusione di cui all’articolo 98, comma 4, lettere g) ed h) del Codice sono rese dall’operatore economico in relazione ai soggetti di cui al punto precedente.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Le dichiarazioni in ordine all’insussistenza delle altre cause di esclusione sono rese in relazione all’operatore economico.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Con riferimento alle cause di esclusione di cui all’articolo 95 del Codice, il concorrente dichiara: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le gravi infrazioni di cui all’articolo 95, comma 1, lettera a) del Codice commesse nei tre anni antecedenti la data di pubblicazione del bando di gara;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gli atti e i provvedimenti indicati all’articolo 98 comma 6 del codice emessi nei tre anni antecedenti la data di pubblicazione del bando di gara;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tutti gli altri comportamenti di cui all’articolo 98 del Codice, commessi nei tre anni antecedenti la data di pubblicazione del bando di gara.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dichiarazione di cui sopra deve essere resa anche nel caso di impugnazione in giudizio dei relativi provvedimenti.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L’operatore economico dichiara la sussistenza delle cause di esclusione che si sono verificate prima della presentazione dell’offerta e indica le misure di self-cleaning adottate, oppure dimostra l’impossibilità di adottare tali misure prima della presentazione dell’offerta.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L’operatore economico adotta le misure di self-cleaning che è stato impossibilitato ad adottare prima della presentazione dell’offerta e quelle relative a cause di esclusione che si sono verificate dopo tale momento.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Se l’operatore economico omette di comunicare alla stazione appaltante la sussistenza dei fatti e dei provvedimenti che possono costituire una causa di esclusione ai sensi degli articoli 94 e 95 del Codice e detti fatti o provvedimenti non risultino nel FVOE, il triennio inizia a decorrere dalla data in cui la stazione appaltante ha acquisito gli stessi, anziché dalla commissione del fatto o dall’adozione del provvedimento.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La domanda di partecipazione deve essere presentata nel rispetto di quanto stabilito dal Decreto del Presidente della Repubblica n. 642/72 in ordine all’assolvimento dell’imposta di bollo. Il pagamento della suddetta imposta del valore di € 16,00 viene effettuato tramite F24, bollo virtuale previa autorizzazione rilasciata dall’Agenzia delle Entrate o tramite il servizio @e.bollo dell'Agenzia delle Entrate o 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A comprova del pagamento, il concorrente allega la ricevuta di pagamento elettronico ovvero del bonifico bancario.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In alternativa il concorrente può acquistare la marca da bollo da euro 16,00 ed inserire il suo numero seriale all'interno della dichiarazione contenuta nell'istanza telematica e allegare, obbligatoriamente copia del contrassegno in formato.pdf. Il concorrente si assume ogni responsabilità in caso di utilizzo plurimo dei contrassegni. </w:t>
      </w:r>
    </w:p>
    <w:p>
      <w:pPr>
        <w:pStyle w:val="Normal"/>
        <w:widowControl w:val="false"/>
        <w:suppressAutoHyphens w:val="true"/>
        <w:bidi w:val="0"/>
        <w:spacing w:before="0" w:after="0"/>
        <w:ind w:left="340" w:right="567"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b/>
          <w:bCs/>
          <w:sz w:val="24"/>
          <w:szCs w:val="24"/>
        </w:rPr>
        <w:t>17.2 DICHIARAZIONI DA RENDERE A CURA DEGLI OPERATORI ECONOMICI AMMESSI AL CONCORDATO PREVENTIVO CON CONTINUITÀ AZIENDALE DI CUI ALL’ARTICOLO 372 DEL DECRETO LEGISLATIVO 12 GENNAIO 2019 , n. 14</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Il concorrente dichiara ai sensi degli articoli 46 e 47 del decreto del Presidente della Repubblica n. 445/2000 gli estremi del provvedimento di ammissione al concordato e del provvedimento di autorizzazione a partecipare alle gare, nonché dichiara che le altre imprese aderenti al raggruppamento non sono assoggettate ad una procedura concorsuale, ai sensi dell’articolo 95, commi 4 e 5, del decreto legislativo n. 14/2019.</w:t>
      </w:r>
    </w:p>
    <w:p>
      <w:pPr>
        <w:pStyle w:val="Normal"/>
        <w:widowControl w:val="false"/>
        <w:suppressAutoHyphens w:val="true"/>
        <w:bidi w:val="0"/>
        <w:spacing w:before="0" w:after="0"/>
        <w:ind w:left="340" w:right="567"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Il concorrente presenta una relazione di un professionista in possesso dei requisiti di cui all'articolo 2, comma 1, lettera o) del decreto legislativo succitato che attesta la conformità al piano e la ragionevole capacità di adempimento del contratto.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Nella domanda di partecipazione il concorrente dichiara: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 accettare, senza condizione o riserva alcuna, tutte le norme e disposizioni contenute nella documentazione gara;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 applicare il CCNL indicato dalla stazione appaltante o altro CCNL equivalente, con l’indicazione del relativo codice alfanumerico unico di cui all’articolo 16 quater del decreto legge 76/20 (garantire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 garantire, la stabilità occupazionale del personale impiegato;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 aver assolto agli obblighi di cui alla legge n. 68/1999;</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per gli operatori economici non residenti e privi di stabile organizzazione in Italia, il proprio domicilio fiscale, il codice fiscale, la partita IVA, l’indirizzo di posta elettronica certificata o strumento analogo negli altri Stati Membri, ai fini delle comunicazioni di cui all’articolo 90 del Codice;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 aver preso visione e di accettare il trattamento dei dati personali.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b/>
          <w:bCs/>
          <w:sz w:val="24"/>
          <w:szCs w:val="24"/>
        </w:rPr>
        <w:t>17.3   DOCUMENTAZIONE IN CASO DI AVVALIMENTO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L’impresa ausiliaria rende le dichiarazioni sul possesso dei requisiti di ordine generale mediante compilazione dell’apposita sezione del DGUE.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Il concorrente, per ciascuna ausiliaria, allega: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a. la dichiarazione di avvalimento;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b. il contratto di avvalimento;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Nel caso di avvalimento finalizzato al miglioramento dell’offerta, il contratto di avvalimento è presentato nell’offerta tecnica.</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b/>
          <w:bCs/>
          <w:sz w:val="24"/>
          <w:szCs w:val="24"/>
        </w:rPr>
        <w:t>17.4 DOCUMENTAZIONE ULTERIORE PER I SOGGETTI ASSOCIATI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Per i raggruppamenti temporanei già costituiti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copia del mandato collettivo irrevocabile con rappresentanza conferito alla mandataria per atto pubblico o scrittura privata autenticata;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dichiarazione delle parti del servizio/fornitura, ovvero della percentuale in caso di servizio/forniture indivisibili, che saranno eseguite dai singoli operatori economici riuniti o consorziati.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Per i consorzi ordinari o GEIE già costituiti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copia dell’atto costitutivo e dello statuto del consorzio o GEIE, con indicazione del soggetto designato quale capofila;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dichiarazione sottoscritta delle parti del servizio/fornitura, ovvero la percentuale in caso di servizi/forniture indivisibili, che saranno eseguite dai singoli operatori economici consorziati.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Per i raggruppamenti temporanei o consorzi ordinari o GEIE non ancora costituiti dichiarazione rese da ciascun concorrente, attestante: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a quale operatore economico, in caso di aggiudicazione, sarà conferito mandato speciale con rappresentanza o funzioni di capogruppo;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l’impegno,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le parti del servizio/fornitura, ovvero la percentuale in caso di servizio/forniture indivisibili, che saranno eseguite dai singoli operatori economici riuniti o consorziati.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Per le aggregazioni di retisti: se la rete è dotata di un organo comune con potere di rappresentanza e soggettività giuridica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copia del contratto di rete, con indicazione dell’organo comune che agisce in rappresentanza della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dichiarazione che indichi per quali imprese la rete concorre;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dichiarazione sottoscritta con firma digitale delle parti del servizio o della fornitura, ovvero la percentuale in caso di servizio/forniture indivisibili, che saranno eseguite dai singoli operatori economici aggregati in rete.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Per le aggregazioni di retisti: se la rete è dotata di un organo comune con potere di rappresentanza ma è priva di soggettività giuridica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copia del contratto di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copia del mandato collettivo irrevocabile con rappresentanza conferito all’organo comune;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dichiarazione delle parti del servizio o della fornitura, ovvero la percentuale in caso di servizio/forniture indivisibili, che saranno eseguite dai singoli operatori economici aggregati in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1. in caso di raggruppamento temporaneo di imprese costituito: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copia del contratto di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copia del mandato collettivo irrevocabile con rappresentanza conferito alla mandataria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dichiarazione delle parti del servizio o della fornitura, ovvero la percentuale in caso di servizio/forniture indivisibili, che saranno eseguite dai singoli operatori economici aggregati in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2. in caso di raggruppamento temporaneo di imprese costituendo: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copia del contratto di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dichiarazioni, rese da ciascun concorrente aderente all’aggregazione di rete, attestanti: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a quale concorrente, in caso di aggiudicazione, sarà conferito mandato speciale con rappresentanza o funzioni di capogruppo;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l’impegno, in caso di aggiudicazione, ad uniformarsi alla disciplina vigente in materia di raggruppamenti temporanei;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le parti del servizio o della fornitura, ovvero la percentuale in caso di servizio/forniture indivisibili, che saranno eseguite dai singoli operatori economici aggregati in rete.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bCs/>
          <w:color w:val="000000"/>
          <w:sz w:val="24"/>
          <w:szCs w:val="24"/>
        </w:rPr>
        <w:t>18 - OFFERTA TECNICA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L’operatore economico inserisce la documentazione relativa all’offerta tecnica nella Piattaforma secondo  le modalità previste dalla Piattaforma MePA, a pena di inammissibilità dell’offerta.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L’offerta è firmata secondo le modalità previste al presente disciplinare.</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L’offerta tecnica consta di un Progetto Tecnico, il quale dovrà descrivere gli aspetti organizzativi e i flussi operativi atti a garantire migliori standard di servizio rispetto a quelli minimi richiesti e dovrà essere strutturato in base all’articolazione dei criteri di valutazione, al fine di consentire alla commissione di gara un’agevole e comparabile lettura.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Il Progetto Tecnico deve: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essere redatto in lingua italiana;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essere sottoscritto con firma digitale dalla persona che riveste la legale rappresentanza del concorrente (nel caso di raggruppamento temporaneo di imprese non ancora costituito: dal legale rappresentante di tutti i soggetti facenti parte del Raggruppamento; nel caso di raggruppamento già costituito: dal legale rappresentante dell’impresa mandataria; in caso di consorzio dal legale rappresentante del consorzio);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 xml:space="preserve">essere </w:t>
      </w:r>
      <w:r>
        <w:rPr>
          <w:rFonts w:cs="Times New Roman" w:ascii="Times New Roman" w:hAnsi="Times New Roman"/>
          <w:b w:val="false"/>
          <w:bCs/>
          <w:color w:val="000000"/>
          <w:sz w:val="24"/>
          <w:szCs w:val="24"/>
        </w:rPr>
        <w:t>redatto, indicativamente, con le seguenti caratteristiche: 25 facciate dattiloscritte in formato A4, scritte con carattere Arial 12 o con carattere di dimensioni corrispondenti, e con un massimo di 52 righe per facciata.</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Non è dovuto alcun compenso per l’elaborazione del progetto tecnico né è prevista la restituzione dello stesso ai soggetti non aggiudicatari.</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Il progetto proposto dall’Offerente in sede di gara costituirà parte integrante, insieme al Capitolato e al contratto, degli atti disciplinanti il servizio ed i rapporti dell’Aggiudicatario con l’Amministrazione concedente.</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L’elaborato che costituisce l’offerta tecnica non dovrà contenere, a pena di esclusione dalla gara, alcuna indicazione da cui possa ricavarsi l’entità dell’offerta economica.</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L’operatore economico può allegare una dichiarazione firmata contenente i dettagli dell’offerta coperti da riservatezza, argomentando in modo congruo le ragioni per le quali eventuali parti dell’offerta sono da segretare. Il concorrente a tal fine allega anche una copia firmata della relazione tecnica adeguatamente oscurata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0" w:right="0" w:hanging="0"/>
        <w:jc w:val="both"/>
        <w:rPr>
          <w:rFonts w:ascii="Times New Roman" w:hAnsi="Times New Roman"/>
          <w:sz w:val="24"/>
          <w:szCs w:val="24"/>
        </w:rPr>
      </w:pPr>
      <w:r>
        <w:rPr>
          <w:rFonts w:cs="Arial" w:ascii="Times New Roman" w:hAnsi="Times New Roman"/>
          <w:b/>
          <w:bCs/>
          <w:color w:val="000000"/>
          <w:sz w:val="24"/>
          <w:szCs w:val="24"/>
        </w:rPr>
        <w:t xml:space="preserve">     </w:t>
      </w:r>
      <w:r>
        <w:rPr>
          <w:rFonts w:cs="Arial" w:ascii="Times New Roman" w:hAnsi="Times New Roman"/>
          <w:b/>
          <w:bCs/>
          <w:color w:val="000000"/>
          <w:sz w:val="24"/>
          <w:szCs w:val="24"/>
        </w:rPr>
        <w:t>19 - OFFERTA ECONOMICA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L’operatore economico inserisce la documentazione economica, secondo le modalità previste dalla Piattaforma MePA.</w:t>
      </w:r>
    </w:p>
    <w:p>
      <w:pPr>
        <w:pStyle w:val="Normal"/>
        <w:widowControl w:val="false"/>
        <w:suppressAutoHyphens w:val="true"/>
        <w:bidi w:val="0"/>
        <w:spacing w:before="0" w:after="0"/>
        <w:ind w:left="340" w:right="567"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L’offerta economica firmata secondo le modalità di cui al precedente articolo , deve indicare, a pena di esclusione, i seguenti elementi: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percentuale di ribasso sull’importo a base d’asta;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 xml:space="preserve">i concorrenti dovranno altresì allegare il modello fornito dalla SA in cui dettagliare il costo delle singole figure professionali impiegate, </w:t>
      </w:r>
    </w:p>
    <w:p>
      <w:pPr>
        <w:pStyle w:val="Normal"/>
        <w:widowControl w:val="false"/>
        <w:suppressAutoHyphens w:val="true"/>
        <w:bidi w:val="0"/>
        <w:spacing w:before="0" w:after="0"/>
        <w:ind w:left="340" w:right="567"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Verranno prese in considerazione fino a 2 cifre decimali;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w:t>
      </w:r>
      <w:r>
        <w:rPr>
          <w:rFonts w:cs="Arial" w:ascii="Times New Roman" w:hAnsi="Times New Roman"/>
          <w:b w:val="false"/>
          <w:bCs/>
          <w:color w:val="000000"/>
          <w:sz w:val="24"/>
          <w:szCs w:val="24"/>
        </w:rPr>
        <w:t xml:space="preserve">a) la stima dei costi aziendali relativi alla salute ed alla sicurezza sui luoghi di lavoro;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w:t>
      </w:r>
      <w:r>
        <w:rPr>
          <w:rFonts w:cs="Arial" w:ascii="Times New Roman" w:hAnsi="Times New Roman"/>
          <w:b w:val="false"/>
          <w:bCs/>
          <w:color w:val="000000"/>
          <w:sz w:val="24"/>
          <w:szCs w:val="24"/>
        </w:rPr>
        <w:t>b) la stima dei costi della manodopera.</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Ai sensi dell’articolo 41 comma 14 del Codice i costi della manodopera indicati non sono ribassabili. Resta la possibilità per l’operatore economico di dimostrare che il ribasso complessivo dell’importo deriva da una più efficiente organizzazione aziendale o da sgravi contributivi che non comportano penalizzazioni per la manodopera.</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Sono inammissibili le offerte economiche che superino l’importo a base d’asta o che non siano formulate nel rispetto dei prezzi di riferimento indicati nel presente disciplinare.</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In caso di discordanza tra quanto indicato in cifre e quanto indicato in lettere, prevarrà l’indicazione in lettere e non sarà ammessa alcuna rettifica ai valori offerti non essendo considerato errore materiale (cfr. art. 101, co. 4, D.Lgs. n. 36/2023 e s.m.i.)</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In caso di discordanza tra quanto indicato a sistema e quanto indicato nel modello fac simile messo a disposizione dalla stazione appaltante, prevarrà quest’ultimo.</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bCs/>
          <w:color w:val="000000"/>
          <w:sz w:val="24"/>
          <w:szCs w:val="24"/>
        </w:rPr>
        <w:t>20. CRITERI DI AGGIUDICAZIONE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La presente procedura è aggiudicata con procedura negoziata ai sensi dell’art. 50, comma 1 lett. e) del D. Lgs. 36/2023 e con criterio dell’offerta economicamente più vantaggiosa.</w:t>
      </w:r>
    </w:p>
    <w:p>
      <w:pPr>
        <w:pStyle w:val="Normal"/>
        <w:widowControl w:val="false"/>
        <w:suppressAutoHyphens w:val="true"/>
        <w:bidi w:val="0"/>
        <w:spacing w:before="0" w:after="0"/>
        <w:ind w:left="340"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La valutazione delle offerte sarà effettuata in base ai seguenti punteggi: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offerta tecnica: fino ad un massimo di 85 punti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bCs/>
          <w:color w:val="000000"/>
          <w:sz w:val="24"/>
          <w:szCs w:val="24"/>
        </w:rPr>
        <w:t xml:space="preserve">    • </w:t>
      </w:r>
      <w:r>
        <w:rPr>
          <w:rFonts w:cs="Arial" w:ascii="Times New Roman" w:hAnsi="Times New Roman"/>
          <w:b w:val="false"/>
          <w:bCs/>
          <w:color w:val="000000"/>
          <w:sz w:val="24"/>
          <w:szCs w:val="24"/>
        </w:rPr>
        <w:t>offerta economica: fino ad un massimo di 15 punti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color w:val="000000"/>
          <w:sz w:val="24"/>
          <w:szCs w:val="24"/>
        </w:rPr>
        <w:t xml:space="preserv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cs="Arial" w:ascii="Times New Roman" w:hAnsi="Times New Roman"/>
          <w:b w:val="false"/>
          <w:color w:val="000000"/>
          <w:sz w:val="24"/>
          <w:szCs w:val="24"/>
        </w:rPr>
        <w:t>La stazione appaltante si riserva la facoltà di aggiudicazione anche in presenza di una sola offerta valida. E’ facoltà inoltre della stazione appaltante non procedere all’aggiudicazione se nessuna offerta risulti conveniente o idonea in relazione all’oggetto del contratto e/o per ragioni di pubblico interesse.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0" w:hanging="0"/>
        <w:jc w:val="both"/>
        <w:rPr>
          <w:b/>
          <w:b/>
          <w:bCs/>
        </w:rPr>
      </w:pPr>
      <w:r>
        <w:rPr>
          <w:rFonts w:eastAsia="Arial" w:ascii="Times New Roman" w:hAnsi="Times New Roman"/>
          <w:b/>
          <w:bCs/>
          <w:sz w:val="24"/>
          <w:szCs w:val="24"/>
        </w:rPr>
        <w:t>21 - SVOLGIMENTO DELLE OPERAZIONI DI GARA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La Piattaforma garantisce il rispetto delle disposizioni del Codice in materia di riservatezza delle operazioni e delle informazioni relative alla procedura di gara, nonché il rispetto dei principi di trasparenza.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21.1 VERIFICA DOCUMENTAZIONE AMMINISTRATIVA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RUP accede alla documentazione amministrativa di ciascun concorrente, mentre l’offerta tecnica e l’offerta economica restano, chiuse, segrete e bloccate dal sistema, e procede 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controllare la completezza della documentazione amministrativa presentata;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verificare la conformità della documentazione amministrativa a quanto richiesto nel presente disciplinare;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attivare l’eventuale procedura di soccorso istruttorio.</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22. SOCCORSO ISTRUTTORIO</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Con la procedura di soccorso istruttorio di cui all’articolo 101 del Codice, possono essere sanate le carenze della documentazione trasmessa con la domanda di partecipazione ma non quelle della documentazione che compone l’offerta tecnica e l’offerta economica.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Non sono sanabili le omissioni, le inesattezze e irregolarità che rendono assolutamente incerta l’identità del concorrente. A titolo esemplificativo, si chiarisce che: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il mancato possesso dei prescritti requisiti di partecipazione non è sanabile mediante soccorso istruttorio ed è causa di esclusione dalla procedura di gara;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l’omessa o incompleta nonché irregolare presentazione delle dichiarazioni sul possesso dei requisiti di partecipazione e ogni altra mancanza, incompletezza o irregolarità della domanda, sono sanabili, ad eccezione delle false dichiarazioni;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la mancata produzione del contratto di avvalimento, della garanzia provvisoria se richiesta, del mandato collettivo speciale o dell’impegno a conferire mandato collettivo può essere oggetto di soccorso istruttorio solo se i citati documenti sono preesistenti e comprovabili con data certa anteriore al termine di presentazione dell’offerta;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il difetto di sottoscrizione della domanda di partecipazione, delle dichiarazioni richieste e dell’offerta è sanabile;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non è sanabile mediante soccorso istruttorio l’omessa indicazione, delle modalità con le quali l’operatore intende assicurare, in caso di aggiudicazione del contratto, il rispetto delle condizioni di partecipazione e di esecuzione indicate nel presente disciplinare.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Ai fini del soccorso istruttorio è assegnato al concorrente un termine di 5 giorni. affinché siano rese, integrate o regolarizzate le dichiarazioni necessarie, indicando il contenuto e i soggetti che le devono rendere nonché la sezione della Piattaforma dove deve essere inserita la documentazione richiesta.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In caso di inutile decorso del termine, la stazione appaltante procede all’esclusione del concorrente dalla procedura.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Ove il concorrente produca dichiarazioni o documenti non perfettamente coerenti con la richiesta, la stazione appaltante può chiedere ulteriori precisazioni o chiarimenti, limitati alla documentazione presentata in fase di soccorso istruttorio, fissando un termine a pena di esclusione.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La stazione appaltante può sempre chiedere chiarimenti sui contenuti dell’offerta tecnica e dell’offerta economica e su ogni loro allegato. L’operatore economico è tenuto a fornire risposta nel termine di 5 giorni. I chiarimenti resi dall’operatore economico non possono modificare il contenuto dell’offerta.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cs="Arial" w:ascii="Times New Roman" w:hAnsi="Times New Roman"/>
          <w:b w:val="false"/>
          <w:bCs w:val="false"/>
          <w:color w:val="000000"/>
          <w:sz w:val="24"/>
          <w:szCs w:val="24"/>
        </w:rPr>
        <w:t>Gli eventuali provvedimenti di esclusione dalla procedura di gara sono comunicati entro cinque giorni dalla loro adozione. È fatta salva la possibilità di chiedere agli offerenti, in qualsiasi momento nel corso della procedura, di presentare tutti i documenti complementari o parte di essi, qualora questo sia necessario per assicurare il corretto svolgimento della procedura.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b/>
          <w:b/>
          <w:bCs/>
        </w:rPr>
      </w:pPr>
      <w:r>
        <w:rPr>
          <w:rFonts w:eastAsia="Arial" w:cs="Arial" w:ascii="Times New Roman" w:hAnsi="Times New Roman"/>
          <w:b/>
          <w:bCs/>
          <w:color w:val="000000"/>
          <w:sz w:val="24"/>
          <w:szCs w:val="24"/>
        </w:rPr>
        <w:t>23 COMMISSIONE GIUDICATRICE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cs="Arial" w:ascii="Times New Roman" w:hAnsi="Times New Roman"/>
          <w:b w:val="false"/>
          <w:bCs w:val="false"/>
          <w:color w:val="000000"/>
          <w:sz w:val="24"/>
          <w:szCs w:val="24"/>
        </w:rPr>
        <w:t xml:space="preserve">La commissione giudicatrice è nominata dopo la scadenza del termine per la presentazione delle offerte ed è composta da un numero dispari di membri, esperti nello specifico settore cui si riferisce l’oggetto del contratto.        </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cs="Arial" w:ascii="Times New Roman" w:hAnsi="Times New Roman"/>
          <w:b w:val="false"/>
          <w:bCs w:val="false"/>
          <w:color w:val="000000"/>
          <w:sz w:val="24"/>
          <w:szCs w:val="24"/>
        </w:rPr>
        <w:t>In capo ai commissari non devono sussistere cause ostative alla nomina ai sensi dell’articolo 51 del Codice. A tal fine viene richiesta, prima del conferimento dell’incarico, apposita dichiarazione.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cs="Arial" w:ascii="Times New Roman" w:hAnsi="Times New Roman"/>
          <w:b w:val="false"/>
          <w:bCs w:val="false"/>
          <w:color w:val="000000"/>
          <w:sz w:val="24"/>
          <w:szCs w:val="24"/>
        </w:rPr>
        <w:t>La composizione della commissione giudicatrice e i curricula dei componenti sono pubblicati sul sito istituzionale nella sezione “Amministrazione trasparente”.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cs="Arial" w:ascii="Times New Roman" w:hAnsi="Times New Roman"/>
          <w:b w:val="false"/>
          <w:bCs w:val="false"/>
          <w:color w:val="000000"/>
          <w:sz w:val="24"/>
          <w:szCs w:val="24"/>
        </w:rPr>
        <w:t>La commissione giudicatrice è responsabile della valutazione delle offerte tecniche ed economiche dei concorrenti, può riunirsi con modalità telematiche che salvaguardino la riservatezza delle comunicazioni.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cs="Arial" w:ascii="Times New Roman" w:hAnsi="Times New Roman"/>
          <w:b w:val="false"/>
          <w:bCs w:val="false"/>
          <w:color w:val="000000"/>
          <w:sz w:val="24"/>
          <w:szCs w:val="24"/>
        </w:rPr>
        <w:t>Il RUP si avvale dell’ausilio della commissione giudicatrice ai fini della verifica della documentazione amministrativa e dell’anomalia delle offerte.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data e l’ora in cui si procede all’apertura delle offerte tecniche sono comunicate tramite la Piattaforma ai concorrenti ammessi alla presente fase di gara.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Commissione giudicatrice procede all’apertura delle offerte presentate. La commissione giudicatrice procede all’esame e valutazione delle offerte presentate dai concorrenti e all’assegnazione dei relativi punteggi applicando i criteri e le formule indicati nel presente disciplinare. Gli esiti della valutazione sono registrati dalla Piattaforma.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commissione procede alla riparametrazione dei punteggi secondo quanto indicato.</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Al termine delle operazioni di cui sopra la Piattaforma consente la prosecuzione della procedura ai soli concorrenti ammessi alla valutazione delle offerte economiche.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La commissione giudicatrice procede all’apertura e alla valutazione delle offerte economiche,                secondo i criteri e le modalità descritte nel disciplinare e, successivamente, all’individuazione dell’unico parametro numerico finale per la formulazione della graduatoria.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Nel caso in cui le offerte di due o più concorrenti ottengano lo stesso punteggio complessivo, ma punteggi differenti per il prezzo e per tutti gli altri elementi di valutazione, è collocato primo in graduatoria il concorrente che ha ottenuto il miglior punteggio sull’offerta tecnica.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È collocato primo in graduatoria il concorrente che ha presentato la migliore offerta.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All’esito delle operazioni di cui sopra, la commissione, redige la graduatoria. L’offerta è esclusa in caso di:</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mancata separazione dell’offerta economica dall’offerta tecnica, ovvero inserimento di elementi concernenti il prezzo nella documentazione amministrativa o nell’offerta tecnica;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presentazione di offerte parziali, plurime, condizionate, alternative oppure irregolari in quanto non rispettano i documenti di gara, ivi comprese le specifiche tecniche, o anormalmente basse;</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presentazione di offerte inammissibili in quanto la commissione giudicatrice ha ritenuto sussistenti gli estremi per l’informativa alla Procura della Repubblica per reati di corruzione o fenomeni collusivi o ha verificato essere in aumento rispetto all’importo a base di gara;</w:t>
      </w:r>
    </w:p>
    <w:p>
      <w:pPr>
        <w:pStyle w:val="Normal"/>
        <w:widowControl w:val="false"/>
        <w:suppressAutoHyphens w:val="true"/>
        <w:bidi w:val="0"/>
        <w:spacing w:before="0" w:after="0"/>
        <w:ind w:left="340" w:right="0" w:hanging="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mancato superamento della soglia di sbarramento per l’offerta tecnica.</w:t>
      </w:r>
    </w:p>
    <w:p>
      <w:pPr>
        <w:pStyle w:val="ListParagraph"/>
        <w:widowControl w:val="false"/>
        <w:tabs>
          <w:tab w:val="clear" w:pos="720"/>
          <w:tab w:val="left" w:pos="284" w:leader="none"/>
        </w:tabs>
        <w:suppressAutoHyphens w:val="true"/>
        <w:bidi w:val="0"/>
        <w:spacing w:before="0" w:after="0"/>
        <w:ind w:left="340" w:right="0" w:hanging="0"/>
        <w:jc w:val="left"/>
        <w:rPr>
          <w:rFonts w:ascii="Times New Roman" w:hAnsi="Times New Roman"/>
          <w:sz w:val="24"/>
          <w:szCs w:val="24"/>
        </w:rPr>
      </w:pPr>
      <w:r>
        <w:rPr>
          <w:rFonts w:ascii="Times New Roman" w:hAnsi="Times New Roman"/>
          <w:sz w:val="24"/>
          <w:szCs w:val="24"/>
        </w:rPr>
      </w:r>
    </w:p>
    <w:p>
      <w:pPr>
        <w:pStyle w:val="ListParagraph"/>
        <w:widowControl w:val="false"/>
        <w:tabs>
          <w:tab w:val="clear" w:pos="720"/>
          <w:tab w:val="left" w:pos="284" w:leader="none"/>
        </w:tabs>
        <w:suppressAutoHyphens w:val="true"/>
        <w:bidi w:val="0"/>
        <w:spacing w:before="0" w:after="0"/>
        <w:ind w:left="340" w:right="0" w:hanging="0"/>
        <w:jc w:val="left"/>
        <w:rPr>
          <w:rFonts w:ascii="Times New Roman" w:hAnsi="Times New Roman"/>
          <w:sz w:val="24"/>
          <w:szCs w:val="24"/>
        </w:rPr>
      </w:pPr>
      <w:r>
        <w:rPr>
          <w:rFonts w:ascii="Times New Roman" w:hAnsi="Times New Roman"/>
          <w:sz w:val="24"/>
          <w:szCs w:val="24"/>
        </w:rPr>
      </w:r>
    </w:p>
    <w:p>
      <w:pPr>
        <w:pStyle w:val="ListParagraph"/>
        <w:widowControl w:val="false"/>
        <w:tabs>
          <w:tab w:val="clear" w:pos="720"/>
          <w:tab w:val="left" w:pos="284" w:leader="none"/>
        </w:tabs>
        <w:suppressAutoHyphens w:val="true"/>
        <w:bidi w:val="0"/>
        <w:spacing w:before="0" w:after="0"/>
        <w:ind w:left="340" w:right="0" w:hanging="0"/>
        <w:jc w:val="left"/>
        <w:rPr>
          <w:rFonts w:ascii="Times New Roman" w:hAnsi="Times New Roman"/>
          <w:sz w:val="24"/>
          <w:szCs w:val="24"/>
        </w:rPr>
      </w:pPr>
      <w:r>
        <w:rPr>
          <w:rFonts w:cs="Times New Roman" w:ascii="Times New Roman" w:hAnsi="Times New Roman"/>
          <w:b/>
          <w:sz w:val="24"/>
          <w:szCs w:val="24"/>
        </w:rPr>
        <w:t>24. VALUTAZIONE OFFERTA TECNICA</w:t>
      </w:r>
    </w:p>
    <w:p>
      <w:pPr>
        <w:pStyle w:val="Normal"/>
        <w:widowControl w:val="false"/>
        <w:suppressAutoHyphens w:val="true"/>
        <w:bidi w:val="0"/>
        <w:spacing w:before="60" w:after="60"/>
        <w:ind w:left="340" w:right="0" w:hanging="0"/>
        <w:jc w:val="both"/>
        <w:rPr>
          <w:rFonts w:ascii="Times New Roman" w:hAnsi="Times New Roman"/>
          <w:sz w:val="24"/>
          <w:szCs w:val="24"/>
        </w:rPr>
      </w:pPr>
      <w:r>
        <w:rPr>
          <w:rFonts w:cs="Times New Roman" w:ascii="Times New Roman" w:hAnsi="Times New Roman"/>
          <w:b w:val="false"/>
          <w:color w:val="000000"/>
          <w:sz w:val="24"/>
          <w:szCs w:val="24"/>
        </w:rPr>
        <w:t>La valutazione dell’offerta tecnica avverrà sulla base dell’esame del Progetto Tecnico e prevede l’attribuzione dei punteggi sulla base dei criteri e degli indicatori sotto elencati:</w:t>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340" w:right="624" w:hanging="0"/>
        <w:jc w:val="left"/>
        <w:rPr>
          <w:rFonts w:ascii="Times New Roman" w:hAnsi="Times New Roman"/>
          <w:sz w:val="24"/>
          <w:szCs w:val="24"/>
        </w:rPr>
      </w:pPr>
      <w:r>
        <w:rPr>
          <w:rFonts w:ascii="Times New Roman" w:hAnsi="Times New Roman"/>
          <w:sz w:val="24"/>
          <w:szCs w:val="24"/>
        </w:rPr>
      </w:r>
    </w:p>
    <w:tbl>
      <w:tblPr>
        <w:tblStyle w:val="TableNormal"/>
        <w:tblW w:w="9574" w:type="dxa"/>
        <w:jc w:val="left"/>
        <w:tblInd w:w="306" w:type="dxa"/>
        <w:tblLayout w:type="fixed"/>
        <w:tblCellMar>
          <w:top w:w="0" w:type="dxa"/>
          <w:left w:w="5" w:type="dxa"/>
          <w:bottom w:w="0" w:type="dxa"/>
          <w:right w:w="5" w:type="dxa"/>
        </w:tblCellMar>
        <w:tblLook w:firstRow="1" w:noVBand="0" w:lastRow="1" w:firstColumn="1" w:lastColumn="1" w:noHBand="0" w:val="01e0"/>
      </w:tblPr>
      <w:tblGrid>
        <w:gridCol w:w="286"/>
        <w:gridCol w:w="2388"/>
        <w:gridCol w:w="4876"/>
        <w:gridCol w:w="2023"/>
      </w:tblGrid>
      <w:tr>
        <w:trPr>
          <w:trHeight w:val="671" w:hRule="atLeast"/>
        </w:trPr>
        <w:tc>
          <w:tcPr>
            <w:tcW w:w="267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60" w:after="0"/>
              <w:ind w:left="284" w:right="694" w:hanging="0"/>
              <w:jc w:val="center"/>
              <w:rPr>
                <w:rFonts w:ascii="Times New Roman" w:hAnsi="Times New Roman"/>
                <w:sz w:val="24"/>
                <w:szCs w:val="24"/>
              </w:rPr>
            </w:pPr>
            <w:r>
              <w:rPr>
                <w:rFonts w:eastAsia="Arial MT" w:cs="Times New Roman" w:ascii="Times New Roman" w:hAnsi="Times New Roman"/>
                <w:b/>
                <w:kern w:val="0"/>
                <w:sz w:val="24"/>
                <w:szCs w:val="24"/>
                <w:lang w:eastAsia="en-US" w:bidi="ar-SA"/>
              </w:rPr>
              <w:t>Oggetto della</w:t>
            </w:r>
            <w:r>
              <w:rPr>
                <w:rFonts w:eastAsia="Arial MT" w:cs="Times New Roman" w:ascii="Times New Roman" w:hAnsi="Times New Roman"/>
                <w:b/>
                <w:spacing w:val="-64"/>
                <w:kern w:val="0"/>
                <w:sz w:val="24"/>
                <w:szCs w:val="24"/>
                <w:lang w:eastAsia="en-US" w:bidi="ar-SA"/>
              </w:rPr>
              <w:t xml:space="preserve"> </w:t>
            </w:r>
            <w:r>
              <w:rPr>
                <w:rFonts w:eastAsia="Arial MT" w:cs="Times New Roman" w:ascii="Times New Roman" w:hAnsi="Times New Roman"/>
                <w:b/>
                <w:kern w:val="0"/>
                <w:sz w:val="24"/>
                <w:szCs w:val="24"/>
                <w:lang w:eastAsia="en-US" w:bidi="ar-SA"/>
              </w:rPr>
              <w:t>valutazione</w:t>
            </w:r>
          </w:p>
        </w:tc>
        <w:tc>
          <w:tcPr>
            <w:tcW w:w="48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b/>
                <w:b/>
                <w:sz w:val="24"/>
                <w:szCs w:val="24"/>
              </w:rPr>
            </w:pPr>
            <w:r>
              <w:rPr>
                <w:rFonts w:eastAsia="Arial MT" w:cs="Times New Roman" w:ascii="Times New Roman" w:hAnsi="Times New Roman"/>
                <w:b/>
                <w:sz w:val="24"/>
                <w:szCs w:val="24"/>
              </w:rPr>
            </w:r>
          </w:p>
          <w:p>
            <w:pPr>
              <w:pStyle w:val="Normal"/>
              <w:widowControl w:val="false"/>
              <w:tabs>
                <w:tab w:val="clear" w:pos="720"/>
                <w:tab w:val="left" w:pos="284" w:leader="none"/>
              </w:tabs>
              <w:suppressAutoHyphens w:val="true"/>
              <w:bidi w:val="0"/>
              <w:spacing w:before="0" w:after="0"/>
              <w:ind w:left="283" w:right="113" w:hanging="0"/>
              <w:jc w:val="center"/>
              <w:rPr>
                <w:rFonts w:ascii="Times New Roman" w:hAnsi="Times New Roman"/>
                <w:sz w:val="24"/>
                <w:szCs w:val="24"/>
              </w:rPr>
            </w:pPr>
            <w:r>
              <w:rPr>
                <w:rFonts w:eastAsia="Arial MT" w:cs="Times New Roman" w:ascii="Times New Roman" w:hAnsi="Times New Roman"/>
                <w:b/>
                <w:kern w:val="0"/>
                <w:sz w:val="24"/>
                <w:szCs w:val="24"/>
                <w:lang w:eastAsia="en-US" w:bidi="ar-SA"/>
              </w:rPr>
              <w:t>Elementi</w:t>
            </w:r>
          </w:p>
        </w:tc>
        <w:tc>
          <w:tcPr>
            <w:tcW w:w="20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b/>
                <w:b/>
                <w:sz w:val="24"/>
                <w:szCs w:val="24"/>
              </w:rPr>
            </w:pPr>
            <w:r>
              <w:rPr>
                <w:rFonts w:eastAsia="Arial MT" w:cs="Times New Roman" w:ascii="Times New Roman" w:hAnsi="Times New Roman"/>
                <w:b/>
                <w:sz w:val="24"/>
                <w:szCs w:val="24"/>
              </w:rPr>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eastAsia="Arial MT" w:cs="Times New Roman" w:ascii="Times New Roman" w:hAnsi="Times New Roman"/>
                <w:b/>
                <w:kern w:val="0"/>
                <w:sz w:val="24"/>
                <w:szCs w:val="24"/>
                <w:lang w:eastAsia="en-US" w:bidi="ar-SA"/>
              </w:rPr>
              <w:t>Punteggio</w:t>
            </w:r>
          </w:p>
        </w:tc>
      </w:tr>
      <w:tr>
        <w:trPr>
          <w:trHeight w:val="1055" w:hRule="atLeast"/>
        </w:trPr>
        <w:tc>
          <w:tcPr>
            <w:tcW w:w="2674" w:type="dxa"/>
            <w:gridSpan w:val="2"/>
            <w:tcBorders>
              <w:top w:val="single" w:sz="4" w:space="0" w:color="000000"/>
              <w:left w:val="single" w:sz="4" w:space="0" w:color="000000"/>
              <w:bottom w:val="single" w:sz="6"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right"/>
              <w:rPr>
                <w:rFonts w:ascii="Times New Roman" w:hAnsi="Times New Roman"/>
                <w:sz w:val="24"/>
                <w:szCs w:val="24"/>
              </w:rPr>
            </w:pPr>
            <w:r>
              <w:rPr>
                <w:rFonts w:ascii="Times New Roman" w:hAnsi="Times New Roman"/>
                <w:sz w:val="24"/>
                <w:szCs w:val="24"/>
              </w:rPr>
            </w:r>
          </w:p>
          <w:p>
            <w:pPr>
              <w:pStyle w:val="Normal"/>
              <w:widowControl w:val="false"/>
              <w:tabs>
                <w:tab w:val="clear" w:pos="720"/>
                <w:tab w:val="left" w:pos="284" w:leader="none"/>
              </w:tabs>
              <w:suppressAutoHyphens w:val="true"/>
              <w:spacing w:before="148" w:after="0"/>
              <w:ind w:left="284" w:right="694" w:hanging="0"/>
              <w:jc w:val="left"/>
              <w:rPr/>
            </w:pPr>
            <w:r>
              <w:rPr>
                <w:rStyle w:val="FontStyle52"/>
                <w:rFonts w:cs="Times New Roman" w:ascii="Times New Roman" w:hAnsi="Times New Roman"/>
                <w:kern w:val="0"/>
                <w:sz w:val="24"/>
                <w:szCs w:val="24"/>
                <w:lang w:eastAsia="it-IT" w:bidi="ar-SA"/>
              </w:rPr>
              <w:t>Progetto gestionale ed organizzativo</w:t>
            </w:r>
          </w:p>
        </w:tc>
        <w:tc>
          <w:tcPr>
            <w:tcW w:w="4876" w:type="dxa"/>
            <w:tcBorders>
              <w:top w:val="single" w:sz="4" w:space="0" w:color="000000"/>
              <w:left w:val="single" w:sz="4" w:space="0" w:color="000000"/>
              <w:bottom w:val="single" w:sz="6" w:space="0" w:color="000000"/>
              <w:right w:val="single" w:sz="4" w:space="0" w:color="000000"/>
            </w:tcBorders>
          </w:tcPr>
          <w:p>
            <w:pPr>
              <w:pStyle w:val="ListParagraph"/>
              <w:widowControl w:val="false"/>
              <w:numPr>
                <w:ilvl w:val="0"/>
                <w:numId w:val="2"/>
              </w:numPr>
              <w:tabs>
                <w:tab w:val="clear" w:pos="720"/>
                <w:tab w:val="left" w:pos="284" w:leader="none"/>
              </w:tabs>
              <w:suppressAutoHyphens w:val="true"/>
              <w:spacing w:before="24" w:after="0"/>
              <w:ind w:left="284" w:right="694" w:hanging="0"/>
              <w:jc w:val="both"/>
              <w:rPr/>
            </w:pPr>
            <w:r>
              <w:rPr>
                <w:rStyle w:val="FontStyle51"/>
                <w:rFonts w:cs="Times New Roman" w:ascii="Times New Roman" w:hAnsi="Times New Roman"/>
                <w:bCs/>
                <w:kern w:val="0"/>
                <w:sz w:val="24"/>
                <w:szCs w:val="24"/>
                <w:lang w:eastAsia="en-US" w:bidi="ar-SA"/>
              </w:rPr>
              <w:t>Funzioni, destinatari, interventi attività e servizi, obiettivi e risultati attesi</w:t>
            </w:r>
          </w:p>
          <w:p>
            <w:pPr>
              <w:pStyle w:val="Style21"/>
              <w:widowControl w:val="false"/>
              <w:numPr>
                <w:ilvl w:val="0"/>
                <w:numId w:val="2"/>
              </w:numPr>
              <w:tabs>
                <w:tab w:val="clear" w:pos="720"/>
                <w:tab w:val="left" w:pos="284" w:leader="none"/>
              </w:tabs>
              <w:suppressAutoHyphens w:val="true"/>
              <w:bidi w:val="0"/>
              <w:spacing w:lineRule="exact" w:line="274" w:before="48" w:after="0"/>
              <w:ind w:left="283" w:right="0" w:hanging="0"/>
              <w:jc w:val="both"/>
              <w:rPr/>
            </w:pPr>
            <w:r>
              <w:rPr>
                <w:rStyle w:val="FontStyle51"/>
                <w:rFonts w:cs="Times New Roman" w:ascii="Times New Roman" w:hAnsi="Times New Roman"/>
                <w:bCs/>
                <w:kern w:val="0"/>
                <w:sz w:val="24"/>
                <w:szCs w:val="24"/>
                <w:lang w:bidi="ar-SA"/>
              </w:rPr>
              <w:t>Modalità  di programmazione e</w:t>
            </w:r>
          </w:p>
          <w:p>
            <w:pPr>
              <w:pStyle w:val="Style21"/>
              <w:widowControl w:val="false"/>
              <w:numPr>
                <w:ilvl w:val="0"/>
                <w:numId w:val="0"/>
              </w:numPr>
              <w:tabs>
                <w:tab w:val="clear" w:pos="720"/>
                <w:tab w:val="left" w:pos="284" w:leader="none"/>
              </w:tabs>
              <w:suppressAutoHyphens w:val="true"/>
              <w:bidi w:val="0"/>
              <w:spacing w:lineRule="exact" w:line="274" w:before="48" w:after="0"/>
              <w:ind w:left="283" w:right="0" w:hanging="0"/>
              <w:jc w:val="both"/>
              <w:rPr/>
            </w:pPr>
            <w:r>
              <w:rPr>
                <w:rStyle w:val="FontStyle51"/>
                <w:rFonts w:cs="Times New Roman" w:ascii="Times New Roman" w:hAnsi="Times New Roman"/>
                <w:bCs/>
                <w:kern w:val="0"/>
                <w:sz w:val="24"/>
                <w:szCs w:val="24"/>
                <w:lang w:bidi="ar-SA"/>
              </w:rPr>
              <w:t>gestione del  progetto   individuale</w:t>
            </w:r>
          </w:p>
          <w:p>
            <w:pPr>
              <w:pStyle w:val="ListParagraph"/>
              <w:widowControl w:val="false"/>
              <w:numPr>
                <w:ilvl w:val="0"/>
                <w:numId w:val="2"/>
              </w:numPr>
              <w:tabs>
                <w:tab w:val="clear" w:pos="720"/>
                <w:tab w:val="left" w:pos="284" w:leader="none"/>
              </w:tabs>
              <w:suppressAutoHyphens w:val="true"/>
              <w:spacing w:before="24" w:after="0"/>
              <w:ind w:left="284" w:right="694" w:hanging="0"/>
              <w:jc w:val="both"/>
              <w:rPr/>
            </w:pPr>
            <w:r>
              <w:rPr>
                <w:rStyle w:val="FontStyle51"/>
                <w:rFonts w:cs="Times New Roman" w:ascii="Times New Roman" w:hAnsi="Times New Roman"/>
                <w:bCs/>
                <w:kern w:val="0"/>
                <w:sz w:val="24"/>
                <w:szCs w:val="24"/>
                <w:lang w:eastAsia="en-US" w:bidi="ar-SA"/>
              </w:rPr>
              <w:t>azioni ed organizzazione del Servizio, garanzia del rispetto delle prestazioni</w:t>
            </w:r>
          </w:p>
          <w:p>
            <w:pPr>
              <w:pStyle w:val="Normal"/>
              <w:widowControl w:val="false"/>
              <w:tabs>
                <w:tab w:val="clear" w:pos="720"/>
                <w:tab w:val="left" w:pos="284" w:leader="none"/>
              </w:tabs>
              <w:suppressAutoHyphens w:val="true"/>
              <w:spacing w:before="24"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tc>
        <w:tc>
          <w:tcPr>
            <w:tcW w:w="2023" w:type="dxa"/>
            <w:tcBorders>
              <w:top w:val="single" w:sz="4" w:space="0" w:color="000000"/>
              <w:left w:val="single" w:sz="4" w:space="0" w:color="000000"/>
              <w:bottom w:val="single" w:sz="6"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kern w:val="0"/>
                <w:sz w:val="24"/>
                <w:szCs w:val="24"/>
                <w:lang w:eastAsia="en-US" w:bidi="ar-SA"/>
              </w:rPr>
              <w:t>20</w:t>
            </w:r>
          </w:p>
        </w:tc>
      </w:tr>
      <w:tr>
        <w:trPr>
          <w:trHeight w:val="1262" w:hRule="atLeast"/>
        </w:trPr>
        <w:tc>
          <w:tcPr>
            <w:tcW w:w="2674" w:type="dxa"/>
            <w:gridSpan w:val="2"/>
            <w:tcBorders>
              <w:top w:val="single" w:sz="6"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cs="Times New Roman" w:ascii="Times New Roman" w:hAnsi="Times New Roman"/>
                <w:b/>
                <w:kern w:val="0"/>
                <w:sz w:val="24"/>
                <w:szCs w:val="24"/>
                <w:lang w:eastAsia="en-US" w:bidi="ar-SA"/>
              </w:rPr>
              <w:t>Conoscenza del territorio e specificità del modello organizzativo proposto</w:t>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ascii="Times New Roman" w:hAnsi="Times New Roman"/>
                <w:sz w:val="24"/>
                <w:szCs w:val="24"/>
              </w:rPr>
            </w:r>
          </w:p>
        </w:tc>
        <w:tc>
          <w:tcPr>
            <w:tcW w:w="4876" w:type="dxa"/>
            <w:tcBorders>
              <w:top w:val="single" w:sz="6"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both"/>
              <w:rPr>
                <w:rFonts w:ascii="Times New Roman" w:hAnsi="Times New Roman"/>
                <w:sz w:val="24"/>
                <w:szCs w:val="24"/>
              </w:rPr>
            </w:pPr>
            <w:r>
              <w:rPr>
                <w:rFonts w:eastAsia="Arial MT" w:cs="Times New Roman" w:ascii="Times New Roman" w:hAnsi="Times New Roman"/>
                <w:kern w:val="0"/>
                <w:sz w:val="24"/>
                <w:szCs w:val="24"/>
                <w:lang w:eastAsia="en-US" w:bidi="ar-SA"/>
              </w:rPr>
              <w:t>Coerenza dell’approccio teorico e metodologico proposto</w:t>
            </w:r>
            <w:r>
              <w:rPr>
                <w:rFonts w:eastAsia="Arial MT" w:cs="Times New Roman" w:ascii="Times New Roman" w:hAnsi="Times New Roman"/>
                <w:spacing w:val="-59"/>
                <w:kern w:val="0"/>
                <w:sz w:val="24"/>
                <w:szCs w:val="24"/>
                <w:lang w:eastAsia="en-US" w:bidi="ar-SA"/>
              </w:rPr>
              <w:t xml:space="preserve"> </w:t>
            </w:r>
            <w:r>
              <w:rPr>
                <w:rFonts w:eastAsia="Arial MT" w:cs="Times New Roman" w:ascii="Times New Roman" w:hAnsi="Times New Roman"/>
                <w:kern w:val="0"/>
                <w:sz w:val="24"/>
                <w:szCs w:val="24"/>
                <w:lang w:eastAsia="en-US" w:bidi="ar-SA"/>
              </w:rPr>
              <w:t>rispetto a: contesto territoriale, problemi individuati,</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destinatari, obiettivi e risultati attesi nel rispetto della</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normativa</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vigente</w:t>
            </w:r>
            <w:r>
              <w:rPr>
                <w:rFonts w:eastAsia="Arial MT" w:cs="Times New Roman" w:ascii="Times New Roman" w:hAnsi="Times New Roman"/>
                <w:spacing w:val="-3"/>
                <w:kern w:val="0"/>
                <w:sz w:val="24"/>
                <w:szCs w:val="24"/>
                <w:lang w:eastAsia="en-US" w:bidi="ar-SA"/>
              </w:rPr>
              <w:t xml:space="preserve"> </w:t>
            </w:r>
            <w:r>
              <w:rPr>
                <w:rFonts w:eastAsia="Arial MT" w:cs="Times New Roman" w:ascii="Times New Roman" w:hAnsi="Times New Roman"/>
                <w:kern w:val="0"/>
                <w:sz w:val="24"/>
                <w:szCs w:val="24"/>
                <w:lang w:eastAsia="en-US" w:bidi="ar-SA"/>
              </w:rPr>
              <w:t>in materia</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di</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sostegno</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alla</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povertà.</w:t>
            </w:r>
          </w:p>
        </w:tc>
        <w:tc>
          <w:tcPr>
            <w:tcW w:w="2023" w:type="dxa"/>
            <w:tcBorders>
              <w:top w:val="single" w:sz="6"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before="0" w:after="0"/>
              <w:ind w:left="49" w:right="694" w:hanging="0"/>
              <w:jc w:val="left"/>
              <w:rPr>
                <w:rFonts w:ascii="Times New Roman" w:hAnsi="Times New Roman"/>
                <w:sz w:val="24"/>
                <w:szCs w:val="24"/>
              </w:rPr>
            </w:pPr>
            <w:r>
              <w:rPr>
                <w:rFonts w:cs="Times New Roman" w:ascii="Times New Roman" w:hAnsi="Times New Roman"/>
                <w:kern w:val="0"/>
                <w:sz w:val="24"/>
                <w:szCs w:val="24"/>
                <w:lang w:eastAsia="en-US" w:bidi="ar-SA"/>
              </w:rPr>
              <w:t xml:space="preserve">            </w:t>
            </w:r>
            <w:r>
              <w:rPr>
                <w:rFonts w:cs="Times New Roman" w:ascii="Times New Roman" w:hAnsi="Times New Roman"/>
                <w:kern w:val="0"/>
                <w:sz w:val="24"/>
                <w:szCs w:val="24"/>
                <w:lang w:eastAsia="en-US" w:bidi="ar-SA"/>
              </w:rPr>
              <w:t>30</w:t>
            </w:r>
          </w:p>
        </w:tc>
      </w:tr>
      <w:tr>
        <w:trPr>
          <w:trHeight w:val="1262" w:hRule="atLeast"/>
        </w:trPr>
        <w:tc>
          <w:tcPr>
            <w:tcW w:w="2674" w:type="dxa"/>
            <w:gridSpan w:val="2"/>
            <w:tcBorders>
              <w:top w:val="single" w:sz="6"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9"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16" w:after="0"/>
              <w:ind w:left="284" w:right="694" w:hanging="0"/>
              <w:jc w:val="left"/>
              <w:rPr>
                <w:rFonts w:ascii="Times New Roman" w:hAnsi="Times New Roman"/>
                <w:sz w:val="24"/>
                <w:szCs w:val="24"/>
              </w:rPr>
            </w:pPr>
            <w:r>
              <w:rPr>
                <w:rFonts w:eastAsia="Arial MT" w:cs="Times New Roman" w:ascii="Times New Roman" w:hAnsi="Times New Roman"/>
                <w:b/>
                <w:kern w:val="0"/>
                <w:sz w:val="24"/>
                <w:szCs w:val="24"/>
                <w:lang w:eastAsia="en-US" w:bidi="ar-SA"/>
              </w:rPr>
              <w:t>Partecipazione</w:t>
            </w:r>
            <w:r>
              <w:rPr>
                <w:rFonts w:eastAsia="Arial MT" w:cs="Times New Roman" w:ascii="Times New Roman" w:hAnsi="Times New Roman"/>
                <w:b/>
                <w:spacing w:val="1"/>
                <w:kern w:val="0"/>
                <w:sz w:val="24"/>
                <w:szCs w:val="24"/>
                <w:lang w:eastAsia="en-US" w:bidi="ar-SA"/>
              </w:rPr>
              <w:t xml:space="preserve"> </w:t>
            </w:r>
            <w:r>
              <w:rPr>
                <w:rFonts w:eastAsia="Arial MT" w:cs="Times New Roman" w:ascii="Times New Roman" w:hAnsi="Times New Roman"/>
                <w:b/>
                <w:kern w:val="0"/>
                <w:sz w:val="24"/>
                <w:szCs w:val="24"/>
                <w:lang w:eastAsia="en-US" w:bidi="ar-SA"/>
              </w:rPr>
              <w:t>dei destinatari e</w:t>
            </w:r>
            <w:r>
              <w:rPr>
                <w:rFonts w:eastAsia="Arial MT" w:cs="Times New Roman" w:ascii="Times New Roman" w:hAnsi="Times New Roman"/>
                <w:b/>
                <w:spacing w:val="-59"/>
                <w:kern w:val="0"/>
                <w:sz w:val="24"/>
                <w:szCs w:val="24"/>
                <w:lang w:eastAsia="en-US" w:bidi="ar-SA"/>
              </w:rPr>
              <w:t xml:space="preserve"> </w:t>
            </w:r>
            <w:r>
              <w:rPr>
                <w:rFonts w:eastAsia="Arial MT" w:cs="Times New Roman" w:ascii="Times New Roman" w:hAnsi="Times New Roman"/>
                <w:b/>
                <w:kern w:val="0"/>
                <w:sz w:val="24"/>
                <w:szCs w:val="24"/>
                <w:lang w:eastAsia="en-US" w:bidi="ar-SA"/>
              </w:rPr>
              <w:t>rischi</w:t>
            </w:r>
            <w:r>
              <w:rPr>
                <w:rFonts w:eastAsia="Arial MT" w:cs="Times New Roman" w:ascii="Times New Roman" w:hAnsi="Times New Roman"/>
                <w:b/>
                <w:spacing w:val="-1"/>
                <w:kern w:val="0"/>
                <w:sz w:val="24"/>
                <w:szCs w:val="24"/>
                <w:lang w:eastAsia="en-US" w:bidi="ar-SA"/>
              </w:rPr>
              <w:t xml:space="preserve"> </w:t>
            </w:r>
            <w:r>
              <w:rPr>
                <w:rFonts w:eastAsia="Arial MT" w:cs="Times New Roman" w:ascii="Times New Roman" w:hAnsi="Times New Roman"/>
                <w:b/>
                <w:kern w:val="0"/>
                <w:sz w:val="24"/>
                <w:szCs w:val="24"/>
                <w:lang w:eastAsia="en-US" w:bidi="ar-SA"/>
              </w:rPr>
              <w:t>di realizzazione</w:t>
            </w:r>
          </w:p>
        </w:tc>
        <w:tc>
          <w:tcPr>
            <w:tcW w:w="4876" w:type="dxa"/>
            <w:tcBorders>
              <w:top w:val="single" w:sz="6"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lineRule="exact" w:line="252" w:before="0" w:after="0"/>
              <w:ind w:left="284" w:right="694" w:hanging="0"/>
              <w:jc w:val="both"/>
              <w:rPr>
                <w:rFonts w:ascii="Times New Roman" w:hAnsi="Times New Roman"/>
                <w:sz w:val="24"/>
                <w:szCs w:val="24"/>
              </w:rPr>
            </w:pPr>
            <w:r>
              <w:rPr>
                <w:rFonts w:ascii="Times New Roman" w:hAnsi="Times New Roman"/>
                <w:sz w:val="24"/>
                <w:szCs w:val="24"/>
              </w:rPr>
            </w:r>
          </w:p>
          <w:p>
            <w:pPr>
              <w:pStyle w:val="Normal"/>
              <w:widowControl w:val="false"/>
              <w:tabs>
                <w:tab w:val="clear" w:pos="720"/>
                <w:tab w:val="left" w:pos="284" w:leader="none"/>
              </w:tabs>
              <w:suppressAutoHyphens w:val="true"/>
              <w:spacing w:lineRule="exact" w:line="252" w:before="0" w:after="0"/>
              <w:ind w:left="284" w:right="694" w:hanging="0"/>
              <w:jc w:val="both"/>
              <w:rPr>
                <w:rFonts w:ascii="Times New Roman" w:hAnsi="Times New Roman"/>
                <w:sz w:val="24"/>
                <w:szCs w:val="24"/>
              </w:rPr>
            </w:pPr>
            <w:r>
              <w:rPr>
                <w:rFonts w:eastAsia="Arial MT" w:cs="Times New Roman" w:ascii="Times New Roman" w:hAnsi="Times New Roman"/>
                <w:kern w:val="0"/>
                <w:sz w:val="24"/>
                <w:szCs w:val="24"/>
                <w:lang w:eastAsia="en-US" w:bidi="ar-SA"/>
              </w:rPr>
              <w:t>Modalità</w:t>
            </w:r>
            <w:r>
              <w:rPr>
                <w:rFonts w:eastAsia="Arial MT" w:cs="Times New Roman" w:ascii="Times New Roman" w:hAnsi="Times New Roman"/>
                <w:spacing w:val="-4"/>
                <w:kern w:val="0"/>
                <w:sz w:val="24"/>
                <w:szCs w:val="24"/>
                <w:lang w:eastAsia="en-US" w:bidi="ar-SA"/>
              </w:rPr>
              <w:t xml:space="preserve"> </w:t>
            </w:r>
            <w:r>
              <w:rPr>
                <w:rFonts w:eastAsia="Arial MT" w:cs="Times New Roman" w:ascii="Times New Roman" w:hAnsi="Times New Roman"/>
                <w:kern w:val="0"/>
                <w:sz w:val="24"/>
                <w:szCs w:val="24"/>
                <w:lang w:eastAsia="en-US" w:bidi="ar-SA"/>
              </w:rPr>
              <w:t>operative</w:t>
            </w:r>
            <w:r>
              <w:rPr>
                <w:rFonts w:eastAsia="Arial MT" w:cs="Times New Roman" w:ascii="Times New Roman" w:hAnsi="Times New Roman"/>
                <w:spacing w:val="-3"/>
                <w:kern w:val="0"/>
                <w:sz w:val="24"/>
                <w:szCs w:val="24"/>
                <w:lang w:eastAsia="en-US" w:bidi="ar-SA"/>
              </w:rPr>
              <w:t xml:space="preserve"> </w:t>
            </w:r>
            <w:r>
              <w:rPr>
                <w:rFonts w:eastAsia="Arial MT" w:cs="Times New Roman" w:ascii="Times New Roman" w:hAnsi="Times New Roman"/>
                <w:kern w:val="0"/>
                <w:sz w:val="24"/>
                <w:szCs w:val="24"/>
                <w:lang w:eastAsia="en-US" w:bidi="ar-SA"/>
              </w:rPr>
              <w:t>per</w:t>
            </w:r>
            <w:r>
              <w:rPr>
                <w:rFonts w:eastAsia="Arial MT" w:cs="Times New Roman" w:ascii="Times New Roman" w:hAnsi="Times New Roman"/>
                <w:spacing w:val="-4"/>
                <w:kern w:val="0"/>
                <w:sz w:val="24"/>
                <w:szCs w:val="24"/>
                <w:lang w:eastAsia="en-US" w:bidi="ar-SA"/>
              </w:rPr>
              <w:t xml:space="preserve"> </w:t>
            </w:r>
            <w:r>
              <w:rPr>
                <w:rFonts w:eastAsia="Arial MT" w:cs="Times New Roman" w:ascii="Times New Roman" w:hAnsi="Times New Roman"/>
                <w:kern w:val="0"/>
                <w:sz w:val="24"/>
                <w:szCs w:val="24"/>
                <w:lang w:eastAsia="en-US" w:bidi="ar-SA"/>
              </w:rPr>
              <w:t>sollecitare</w:t>
            </w:r>
            <w:r>
              <w:rPr>
                <w:rFonts w:eastAsia="Arial MT" w:cs="Times New Roman" w:ascii="Times New Roman" w:hAnsi="Times New Roman"/>
                <w:spacing w:val="-2"/>
                <w:kern w:val="0"/>
                <w:sz w:val="24"/>
                <w:szCs w:val="24"/>
                <w:lang w:eastAsia="en-US" w:bidi="ar-SA"/>
              </w:rPr>
              <w:t xml:space="preserve"> </w:t>
            </w:r>
            <w:r>
              <w:rPr>
                <w:rFonts w:eastAsia="Arial MT" w:cs="Times New Roman" w:ascii="Times New Roman" w:hAnsi="Times New Roman"/>
                <w:kern w:val="0"/>
                <w:sz w:val="24"/>
                <w:szCs w:val="24"/>
                <w:lang w:eastAsia="en-US" w:bidi="ar-SA"/>
              </w:rPr>
              <w:t>la</w:t>
            </w:r>
            <w:r>
              <w:rPr>
                <w:rFonts w:eastAsia="Arial MT" w:cs="Times New Roman" w:ascii="Times New Roman" w:hAnsi="Times New Roman"/>
                <w:spacing w:val="-3"/>
                <w:kern w:val="0"/>
                <w:sz w:val="24"/>
                <w:szCs w:val="24"/>
                <w:lang w:eastAsia="en-US" w:bidi="ar-SA"/>
              </w:rPr>
              <w:t xml:space="preserve"> </w:t>
            </w:r>
            <w:r>
              <w:rPr>
                <w:rFonts w:eastAsia="Arial MT" w:cs="Times New Roman" w:ascii="Times New Roman" w:hAnsi="Times New Roman"/>
                <w:kern w:val="0"/>
                <w:sz w:val="24"/>
                <w:szCs w:val="24"/>
                <w:lang w:eastAsia="en-US" w:bidi="ar-SA"/>
              </w:rPr>
              <w:t>partecipazione</w:t>
            </w:r>
            <w:r>
              <w:rPr>
                <w:rFonts w:eastAsia="Arial MT" w:cs="Times New Roman" w:ascii="Times New Roman" w:hAnsi="Times New Roman"/>
                <w:spacing w:val="-3"/>
                <w:kern w:val="0"/>
                <w:sz w:val="24"/>
                <w:szCs w:val="24"/>
                <w:lang w:eastAsia="en-US" w:bidi="ar-SA"/>
              </w:rPr>
              <w:t xml:space="preserve"> </w:t>
            </w:r>
            <w:r>
              <w:rPr>
                <w:rFonts w:eastAsia="Arial MT" w:cs="Times New Roman" w:ascii="Times New Roman" w:hAnsi="Times New Roman"/>
                <w:kern w:val="0"/>
                <w:sz w:val="24"/>
                <w:szCs w:val="24"/>
                <w:lang w:eastAsia="en-US" w:bidi="ar-SA"/>
              </w:rPr>
              <w:t>attiva</w:t>
            </w:r>
            <w:r>
              <w:rPr>
                <w:rFonts w:eastAsia="Arial MT" w:cs="Times New Roman" w:ascii="Times New Roman" w:hAnsi="Times New Roman"/>
                <w:spacing w:val="-58"/>
                <w:kern w:val="0"/>
                <w:sz w:val="24"/>
                <w:szCs w:val="24"/>
                <w:lang w:eastAsia="en-US" w:bidi="ar-SA"/>
              </w:rPr>
              <w:t xml:space="preserve"> </w:t>
            </w:r>
            <w:r>
              <w:rPr>
                <w:rFonts w:eastAsia="Arial MT" w:cs="Times New Roman" w:ascii="Times New Roman" w:hAnsi="Times New Roman"/>
                <w:kern w:val="0"/>
                <w:sz w:val="24"/>
                <w:szCs w:val="24"/>
                <w:lang w:eastAsia="en-US" w:bidi="ar-SA"/>
              </w:rPr>
              <w:t>dei destinatari alle attività e prefigurazione di strategie</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per il</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fronteggiamento</w:t>
            </w:r>
            <w:r>
              <w:rPr>
                <w:rFonts w:eastAsia="Arial MT" w:cs="Times New Roman" w:ascii="Times New Roman" w:hAnsi="Times New Roman"/>
                <w:spacing w:val="-2"/>
                <w:kern w:val="0"/>
                <w:sz w:val="24"/>
                <w:szCs w:val="24"/>
                <w:lang w:eastAsia="en-US" w:bidi="ar-SA"/>
              </w:rPr>
              <w:t xml:space="preserve"> </w:t>
            </w:r>
            <w:r>
              <w:rPr>
                <w:rFonts w:eastAsia="Arial MT" w:cs="Times New Roman" w:ascii="Times New Roman" w:hAnsi="Times New Roman"/>
                <w:kern w:val="0"/>
                <w:sz w:val="24"/>
                <w:szCs w:val="24"/>
                <w:lang w:eastAsia="en-US" w:bidi="ar-SA"/>
              </w:rPr>
              <w:t>dei</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rischi</w:t>
            </w:r>
            <w:r>
              <w:rPr>
                <w:rFonts w:eastAsia="Arial MT" w:cs="Times New Roman" w:ascii="Times New Roman" w:hAnsi="Times New Roman"/>
                <w:spacing w:val="-2"/>
                <w:kern w:val="0"/>
                <w:sz w:val="24"/>
                <w:szCs w:val="24"/>
                <w:lang w:eastAsia="en-US" w:bidi="ar-SA"/>
              </w:rPr>
              <w:t xml:space="preserve"> </w:t>
            </w:r>
            <w:r>
              <w:rPr>
                <w:rFonts w:eastAsia="Arial MT" w:cs="Times New Roman" w:ascii="Times New Roman" w:hAnsi="Times New Roman"/>
                <w:kern w:val="0"/>
                <w:sz w:val="24"/>
                <w:szCs w:val="24"/>
                <w:lang w:eastAsia="en-US" w:bidi="ar-SA"/>
              </w:rPr>
              <w:t>di</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realizzazione</w:t>
            </w:r>
          </w:p>
          <w:p>
            <w:pPr>
              <w:pStyle w:val="Normal"/>
              <w:widowControl w:val="false"/>
              <w:tabs>
                <w:tab w:val="clear" w:pos="720"/>
                <w:tab w:val="left" w:pos="284" w:leader="none"/>
              </w:tabs>
              <w:suppressAutoHyphens w:val="true"/>
              <w:spacing w:lineRule="exact" w:line="252" w:before="0" w:after="0"/>
              <w:ind w:left="284" w:right="694" w:hanging="0"/>
              <w:jc w:val="both"/>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Style21"/>
              <w:widowControl w:val="false"/>
              <w:tabs>
                <w:tab w:val="clear" w:pos="720"/>
                <w:tab w:val="left" w:pos="284" w:leader="none"/>
              </w:tabs>
              <w:suppressAutoHyphens w:val="true"/>
              <w:spacing w:before="48" w:after="0"/>
              <w:ind w:left="284" w:right="694" w:hanging="0"/>
              <w:rPr/>
            </w:pPr>
            <w:r>
              <w:rPr>
                <w:rStyle w:val="FontStyle51"/>
                <w:rFonts w:cs="Times New Roman" w:ascii="Times New Roman" w:hAnsi="Times New Roman"/>
                <w:bCs/>
                <w:kern w:val="0"/>
                <w:sz w:val="24"/>
                <w:szCs w:val="24"/>
                <w:lang w:bidi="ar-SA"/>
              </w:rPr>
              <w:t>Strategie e procedure messe in atto per la riduzione dei disagi dell’utente in caso di avvicendamento del personale;</w:t>
            </w:r>
          </w:p>
          <w:p>
            <w:pPr>
              <w:pStyle w:val="Normal"/>
              <w:widowControl w:val="false"/>
              <w:tabs>
                <w:tab w:val="clear" w:pos="720"/>
                <w:tab w:val="left" w:pos="284" w:leader="none"/>
              </w:tabs>
              <w:suppressAutoHyphens w:val="true"/>
              <w:spacing w:lineRule="exact" w:line="252" w:before="0" w:after="0"/>
              <w:ind w:left="284" w:right="694" w:hanging="0"/>
              <w:jc w:val="both"/>
              <w:rPr>
                <w:rFonts w:ascii="Times New Roman" w:hAnsi="Times New Roman" w:eastAsia="Arial MT" w:cs="Times New Roman"/>
                <w:sz w:val="24"/>
                <w:szCs w:val="24"/>
              </w:rPr>
            </w:pPr>
            <w:r>
              <w:rPr>
                <w:rFonts w:eastAsia="Arial MT" w:cs="Times New Roman" w:ascii="Times New Roman" w:hAnsi="Times New Roman"/>
                <w:sz w:val="24"/>
                <w:szCs w:val="24"/>
              </w:rPr>
            </w:r>
          </w:p>
        </w:tc>
        <w:tc>
          <w:tcPr>
            <w:tcW w:w="2023" w:type="dxa"/>
            <w:tcBorders>
              <w:top w:val="single" w:sz="6"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9"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kern w:val="0"/>
                <w:sz w:val="24"/>
                <w:szCs w:val="24"/>
                <w:lang w:eastAsia="en-US" w:bidi="ar-SA"/>
              </w:rPr>
              <w:t>10</w:t>
            </w:r>
          </w:p>
        </w:tc>
      </w:tr>
      <w:tr>
        <w:trPr>
          <w:trHeight w:val="1028" w:hRule="atLeast"/>
        </w:trPr>
        <w:tc>
          <w:tcPr>
            <w:tcW w:w="267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8"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right"/>
              <w:rPr>
                <w:rFonts w:ascii="Times New Roman" w:hAnsi="Times New Roman"/>
                <w:sz w:val="24"/>
                <w:szCs w:val="24"/>
              </w:rPr>
            </w:pPr>
            <w:r>
              <w:rPr>
                <w:rFonts w:ascii="Times New Roman" w:hAnsi="Times New Roman"/>
                <w:sz w:val="24"/>
                <w:szCs w:val="24"/>
              </w:rPr>
            </w:r>
          </w:p>
          <w:p>
            <w:pPr>
              <w:pStyle w:val="Normal"/>
              <w:widowControl w:val="false"/>
              <w:tabs>
                <w:tab w:val="clear" w:pos="720"/>
                <w:tab w:val="left" w:pos="284" w:leader="none"/>
              </w:tabs>
              <w:suppressAutoHyphens w:val="true"/>
              <w:spacing w:lineRule="exact" w:line="234" w:before="0" w:after="0"/>
              <w:ind w:left="284" w:right="694" w:hanging="0"/>
              <w:jc w:val="left"/>
              <w:rPr>
                <w:rFonts w:ascii="Times New Roman" w:hAnsi="Times New Roman"/>
                <w:sz w:val="24"/>
                <w:szCs w:val="24"/>
              </w:rPr>
            </w:pPr>
            <w:r>
              <w:rPr>
                <w:rFonts w:eastAsia="Arial MT" w:cs="Times New Roman" w:ascii="Times New Roman" w:hAnsi="Times New Roman"/>
                <w:b/>
                <w:spacing w:val="-2"/>
                <w:kern w:val="0"/>
                <w:sz w:val="24"/>
                <w:szCs w:val="24"/>
                <w:lang w:eastAsia="en-US" w:bidi="ar-SA"/>
              </w:rPr>
              <w:t xml:space="preserve">Risorse </w:t>
            </w:r>
            <w:r>
              <w:rPr>
                <w:rFonts w:eastAsia="Arial MT" w:cs="Times New Roman" w:ascii="Times New Roman" w:hAnsi="Times New Roman"/>
                <w:b/>
                <w:spacing w:val="-1"/>
                <w:kern w:val="0"/>
                <w:sz w:val="24"/>
                <w:szCs w:val="24"/>
                <w:lang w:eastAsia="en-US" w:bidi="ar-SA"/>
              </w:rPr>
              <w:t>umane,</w:t>
            </w:r>
            <w:r>
              <w:rPr>
                <w:rFonts w:eastAsia="Arial MT" w:cs="Times New Roman" w:ascii="Times New Roman" w:hAnsi="Times New Roman"/>
                <w:b/>
                <w:spacing w:val="-59"/>
                <w:kern w:val="0"/>
                <w:sz w:val="24"/>
                <w:szCs w:val="24"/>
                <w:lang w:eastAsia="en-US" w:bidi="ar-SA"/>
              </w:rPr>
              <w:t xml:space="preserve"> </w:t>
            </w:r>
            <w:r>
              <w:rPr>
                <w:rFonts w:eastAsia="Arial MT" w:cs="Times New Roman" w:ascii="Times New Roman" w:hAnsi="Times New Roman"/>
                <w:b/>
                <w:kern w:val="0"/>
                <w:sz w:val="24"/>
                <w:szCs w:val="24"/>
                <w:lang w:eastAsia="en-US" w:bidi="ar-SA"/>
              </w:rPr>
              <w:t>tecniche,</w:t>
            </w:r>
            <w:r>
              <w:rPr>
                <w:rFonts w:eastAsia="Arial MT" w:cs="Times New Roman" w:ascii="Times New Roman" w:hAnsi="Times New Roman"/>
                <w:b/>
                <w:spacing w:val="1"/>
                <w:kern w:val="0"/>
                <w:sz w:val="24"/>
                <w:szCs w:val="24"/>
                <w:lang w:eastAsia="en-US" w:bidi="ar-SA"/>
              </w:rPr>
              <w:t xml:space="preserve"> </w:t>
            </w:r>
            <w:r>
              <w:rPr>
                <w:rFonts w:eastAsia="Arial MT" w:cs="Times New Roman" w:ascii="Times New Roman" w:hAnsi="Times New Roman"/>
                <w:b/>
                <w:kern w:val="0"/>
                <w:sz w:val="24"/>
                <w:szCs w:val="24"/>
                <w:lang w:eastAsia="en-US" w:bidi="ar-SA"/>
              </w:rPr>
              <w:t>logistiche e</w:t>
            </w:r>
            <w:r>
              <w:rPr>
                <w:rFonts w:eastAsia="Arial MT" w:cs="Times New Roman" w:ascii="Times New Roman" w:hAnsi="Times New Roman"/>
                <w:b/>
                <w:spacing w:val="1"/>
                <w:kern w:val="0"/>
                <w:sz w:val="24"/>
                <w:szCs w:val="24"/>
                <w:lang w:eastAsia="en-US" w:bidi="ar-SA"/>
              </w:rPr>
              <w:t xml:space="preserve"> </w:t>
            </w:r>
            <w:r>
              <w:rPr>
                <w:rFonts w:eastAsia="Arial MT" w:cs="Times New Roman" w:ascii="Times New Roman" w:hAnsi="Times New Roman"/>
                <w:b/>
                <w:kern w:val="0"/>
                <w:sz w:val="24"/>
                <w:szCs w:val="24"/>
                <w:lang w:eastAsia="en-US" w:bidi="ar-SA"/>
              </w:rPr>
              <w:t>strumentali</w:t>
            </w:r>
          </w:p>
        </w:tc>
        <w:tc>
          <w:tcPr>
            <w:tcW w:w="487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
              </w:numPr>
              <w:tabs>
                <w:tab w:val="clear" w:pos="720"/>
                <w:tab w:val="left" w:pos="284" w:leader="none"/>
              </w:tabs>
              <w:suppressAutoHyphens w:val="true"/>
              <w:spacing w:before="143" w:after="0"/>
              <w:ind w:left="284" w:right="694" w:hanging="0"/>
              <w:jc w:val="left"/>
              <w:rPr/>
            </w:pPr>
            <w:r>
              <w:rPr>
                <w:rStyle w:val="FontStyle51"/>
                <w:rFonts w:cs="Times New Roman" w:ascii="Times New Roman" w:hAnsi="Times New Roman"/>
                <w:kern w:val="0"/>
                <w:sz w:val="24"/>
                <w:szCs w:val="24"/>
                <w:lang w:eastAsia="en-US" w:bidi="ar-SA"/>
              </w:rPr>
              <w:t>strumenti per la rilevazione informatica delle presenze;</w:t>
            </w:r>
          </w:p>
          <w:p>
            <w:pPr>
              <w:pStyle w:val="ListParagraph"/>
              <w:widowControl w:val="false"/>
              <w:numPr>
                <w:ilvl w:val="0"/>
                <w:numId w:val="3"/>
              </w:numPr>
              <w:tabs>
                <w:tab w:val="clear" w:pos="720"/>
                <w:tab w:val="left" w:pos="284" w:leader="none"/>
              </w:tabs>
              <w:suppressAutoHyphens w:val="true"/>
              <w:spacing w:before="143" w:after="0"/>
              <w:ind w:left="284" w:right="694" w:hanging="0"/>
              <w:jc w:val="left"/>
              <w:rPr>
                <w:rFonts w:ascii="Times New Roman" w:hAnsi="Times New Roman"/>
                <w:sz w:val="24"/>
                <w:szCs w:val="24"/>
              </w:rPr>
            </w:pPr>
            <w:r>
              <w:rPr>
                <w:rFonts w:eastAsia="Arial MT" w:cs="Times New Roman" w:ascii="Times New Roman" w:hAnsi="Times New Roman"/>
                <w:kern w:val="0"/>
                <w:sz w:val="24"/>
                <w:szCs w:val="24"/>
                <w:lang w:eastAsia="en-US" w:bidi="ar-SA"/>
              </w:rPr>
              <w:t>Adeguatezza delle risorse proposte in relazione al</w:t>
            </w:r>
            <w:r>
              <w:rPr>
                <w:rFonts w:eastAsia="Arial MT" w:cs="Times New Roman" w:ascii="Times New Roman" w:hAnsi="Times New Roman"/>
                <w:spacing w:val="1"/>
                <w:kern w:val="0"/>
                <w:sz w:val="24"/>
                <w:szCs w:val="24"/>
                <w:lang w:eastAsia="en-US" w:bidi="ar-SA"/>
              </w:rPr>
              <w:t xml:space="preserve"> </w:t>
            </w:r>
            <w:r>
              <w:rPr>
                <w:rFonts w:eastAsia="Arial MT" w:cs="Times New Roman" w:ascii="Times New Roman" w:hAnsi="Times New Roman"/>
                <w:kern w:val="0"/>
                <w:sz w:val="24"/>
                <w:szCs w:val="24"/>
                <w:lang w:eastAsia="en-US" w:bidi="ar-SA"/>
              </w:rPr>
              <w:t>raggiungimento dei risultati previsti</w:t>
            </w:r>
          </w:p>
          <w:p>
            <w:pPr>
              <w:pStyle w:val="ListParagraph"/>
              <w:widowControl w:val="false"/>
              <w:numPr>
                <w:ilvl w:val="0"/>
                <w:numId w:val="3"/>
              </w:numPr>
              <w:tabs>
                <w:tab w:val="clear" w:pos="720"/>
                <w:tab w:val="left" w:pos="284" w:leader="none"/>
              </w:tabs>
              <w:suppressAutoHyphens w:val="true"/>
              <w:spacing w:before="143" w:after="0"/>
              <w:ind w:left="284" w:right="694" w:hanging="0"/>
              <w:jc w:val="left"/>
              <w:rPr>
                <w:rFonts w:ascii="Times New Roman" w:hAnsi="Times New Roman"/>
                <w:sz w:val="24"/>
                <w:szCs w:val="24"/>
              </w:rPr>
            </w:pPr>
            <w:r>
              <w:rPr>
                <w:rFonts w:eastAsia="Arial MT" w:cs="Times New Roman" w:ascii="Times New Roman" w:hAnsi="Times New Roman"/>
                <w:kern w:val="0"/>
                <w:sz w:val="24"/>
                <w:szCs w:val="24"/>
                <w:lang w:eastAsia="en-US" w:bidi="ar-SA"/>
              </w:rPr>
              <w:t>Definizione delle modalità e dei tempi di attuazione e delle risorse da mettere in campo.</w:t>
            </w:r>
          </w:p>
        </w:tc>
        <w:tc>
          <w:tcPr>
            <w:tcW w:w="20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kern w:val="0"/>
                <w:sz w:val="24"/>
                <w:szCs w:val="24"/>
                <w:lang w:eastAsia="en-US" w:bidi="ar-SA"/>
              </w:rPr>
              <w:t>15</w:t>
            </w:r>
          </w:p>
        </w:tc>
      </w:tr>
      <w:tr>
        <w:trPr>
          <w:trHeight w:val="1516" w:hRule="atLeast"/>
        </w:trPr>
        <w:tc>
          <w:tcPr>
            <w:tcW w:w="267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10"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right"/>
              <w:rPr>
                <w:rFonts w:ascii="Times New Roman" w:hAnsi="Times New Roman"/>
                <w:sz w:val="24"/>
                <w:szCs w:val="24"/>
              </w:rPr>
            </w:pPr>
            <w:r>
              <w:rPr>
                <w:rFonts w:ascii="Times New Roman" w:hAnsi="Times New Roman"/>
                <w:sz w:val="24"/>
                <w:szCs w:val="24"/>
              </w:rPr>
            </w:r>
          </w:p>
          <w:p>
            <w:pPr>
              <w:pStyle w:val="Normal"/>
              <w:widowControl w:val="false"/>
              <w:tabs>
                <w:tab w:val="clear" w:pos="720"/>
                <w:tab w:val="left" w:pos="284" w:leader="none"/>
              </w:tabs>
              <w:suppressAutoHyphens w:val="true"/>
              <w:spacing w:before="10" w:after="0"/>
              <w:ind w:left="284" w:right="694" w:hanging="0"/>
              <w:jc w:val="left"/>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b/>
                <w:kern w:val="0"/>
                <w:sz w:val="24"/>
                <w:szCs w:val="24"/>
                <w:lang w:eastAsia="en-US" w:bidi="ar-SA"/>
              </w:rPr>
              <w:t>Proposte</w:t>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cs="Times New Roman" w:ascii="Times New Roman" w:hAnsi="Times New Roman"/>
                <w:b/>
                <w:kern w:val="0"/>
                <w:sz w:val="24"/>
                <w:szCs w:val="24"/>
                <w:lang w:eastAsia="en-US" w:bidi="ar-SA"/>
              </w:rPr>
              <w:t>migliorative, in</w:t>
            </w:r>
            <w:r>
              <w:rPr>
                <w:rFonts w:cs="Times New Roman" w:ascii="Times New Roman" w:hAnsi="Times New Roman"/>
                <w:b/>
                <w:spacing w:val="-47"/>
                <w:kern w:val="0"/>
                <w:sz w:val="24"/>
                <w:szCs w:val="24"/>
                <w:lang w:eastAsia="en-US" w:bidi="ar-SA"/>
              </w:rPr>
              <w:t xml:space="preserve">    </w:t>
            </w:r>
            <w:r>
              <w:rPr>
                <w:rFonts w:cs="Times New Roman" w:ascii="Times New Roman" w:hAnsi="Times New Roman"/>
                <w:b/>
                <w:kern w:val="0"/>
                <w:sz w:val="24"/>
                <w:szCs w:val="24"/>
                <w:lang w:eastAsia="en-US" w:bidi="ar-SA"/>
              </w:rPr>
              <w:t>relazione</w:t>
            </w:r>
            <w:r>
              <w:rPr>
                <w:rFonts w:cs="Times New Roman" w:ascii="Times New Roman" w:hAnsi="Times New Roman"/>
                <w:b/>
                <w:spacing w:val="-1"/>
                <w:kern w:val="0"/>
                <w:sz w:val="24"/>
                <w:szCs w:val="24"/>
                <w:lang w:eastAsia="en-US" w:bidi="ar-SA"/>
              </w:rPr>
              <w:t xml:space="preserve"> </w:t>
            </w:r>
            <w:r>
              <w:rPr>
                <w:rFonts w:cs="Times New Roman" w:ascii="Times New Roman" w:hAnsi="Times New Roman"/>
                <w:b/>
                <w:kern w:val="0"/>
                <w:sz w:val="24"/>
                <w:szCs w:val="24"/>
                <w:lang w:eastAsia="en-US" w:bidi="ar-SA"/>
              </w:rPr>
              <w:t>a</w:t>
            </w:r>
            <w:r>
              <w:rPr>
                <w:rFonts w:cs="Times New Roman" w:ascii="Times New Roman" w:hAnsi="Times New Roman"/>
                <w:b/>
                <w:spacing w:val="-1"/>
                <w:kern w:val="0"/>
                <w:sz w:val="24"/>
                <w:szCs w:val="24"/>
                <w:lang w:eastAsia="en-US" w:bidi="ar-SA"/>
              </w:rPr>
              <w:t xml:space="preserve"> </w:t>
            </w:r>
            <w:r>
              <w:rPr>
                <w:rFonts w:cs="Times New Roman" w:ascii="Times New Roman" w:hAnsi="Times New Roman"/>
                <w:b/>
                <w:kern w:val="0"/>
                <w:sz w:val="24"/>
                <w:szCs w:val="24"/>
                <w:lang w:eastAsia="en-US" w:bidi="ar-SA"/>
              </w:rPr>
              <w:t>:</w:t>
            </w:r>
          </w:p>
        </w:tc>
        <w:tc>
          <w:tcPr>
            <w:tcW w:w="4876"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3"/>
              </w:numPr>
              <w:tabs>
                <w:tab w:val="clear" w:pos="720"/>
                <w:tab w:val="left" w:pos="284" w:leader="none"/>
              </w:tabs>
              <w:suppressAutoHyphens w:val="true"/>
              <w:spacing w:before="0" w:after="0"/>
              <w:ind w:left="284" w:right="694" w:hanging="0"/>
              <w:jc w:val="both"/>
              <w:rPr>
                <w:rFonts w:ascii="Times New Roman" w:hAnsi="Times New Roman"/>
                <w:sz w:val="24"/>
                <w:szCs w:val="24"/>
              </w:rPr>
            </w:pPr>
            <w:r>
              <w:rPr>
                <w:rFonts w:cs="Times New Roman" w:ascii="Times New Roman" w:hAnsi="Times New Roman"/>
                <w:kern w:val="0"/>
                <w:sz w:val="24"/>
                <w:szCs w:val="24"/>
                <w:lang w:eastAsia="en-US" w:bidi="ar-SA"/>
              </w:rPr>
              <w:t>servizi aggiuntivi, anche sperimentali, che il  concorrente si impegna</w:t>
            </w:r>
            <w:r>
              <w:rPr>
                <w:rFonts w:cs="Times New Roman" w:ascii="Times New Roman" w:hAnsi="Times New Roman"/>
                <w:spacing w:val="-47"/>
                <w:kern w:val="0"/>
                <w:sz w:val="24"/>
                <w:szCs w:val="24"/>
                <w:lang w:eastAsia="en-US" w:bidi="ar-SA"/>
              </w:rPr>
              <w:t xml:space="preserve"> </w:t>
            </w:r>
            <w:r>
              <w:rPr>
                <w:rFonts w:cs="Times New Roman" w:ascii="Times New Roman" w:hAnsi="Times New Roman"/>
                <w:kern w:val="0"/>
                <w:sz w:val="24"/>
                <w:szCs w:val="24"/>
                <w:lang w:eastAsia="en-US" w:bidi="ar-SA"/>
              </w:rPr>
              <w:t>ad attuare senza oneri ulteriori, né per l'Ente, né per gli</w:t>
            </w:r>
            <w:r>
              <w:rPr>
                <w:rFonts w:cs="Times New Roman" w:ascii="Times New Roman" w:hAnsi="Times New Roman"/>
                <w:spacing w:val="1"/>
                <w:kern w:val="0"/>
                <w:sz w:val="24"/>
                <w:szCs w:val="24"/>
                <w:lang w:eastAsia="en-US" w:bidi="ar-SA"/>
              </w:rPr>
              <w:t xml:space="preserve"> </w:t>
            </w:r>
            <w:r>
              <w:rPr>
                <w:rFonts w:cs="Times New Roman" w:ascii="Times New Roman" w:hAnsi="Times New Roman"/>
                <w:kern w:val="0"/>
                <w:sz w:val="24"/>
                <w:szCs w:val="24"/>
                <w:lang w:eastAsia="en-US" w:bidi="ar-SA"/>
              </w:rPr>
              <w:t>utenti, né per gli operatori, ma solo come valore aggiunto in</w:t>
            </w:r>
            <w:r>
              <w:rPr>
                <w:rFonts w:cs="Times New Roman" w:ascii="Times New Roman" w:hAnsi="Times New Roman"/>
                <w:spacing w:val="-47"/>
                <w:kern w:val="0"/>
                <w:sz w:val="24"/>
                <w:szCs w:val="24"/>
                <w:lang w:eastAsia="en-US" w:bidi="ar-SA"/>
              </w:rPr>
              <w:t xml:space="preserve"> </w:t>
            </w:r>
            <w:r>
              <w:rPr>
                <w:rFonts w:cs="Times New Roman" w:ascii="Times New Roman" w:hAnsi="Times New Roman"/>
                <w:kern w:val="0"/>
                <w:sz w:val="24"/>
                <w:szCs w:val="24"/>
                <w:lang w:eastAsia="en-US" w:bidi="ar-SA"/>
              </w:rPr>
              <w:t>una</w:t>
            </w:r>
            <w:r>
              <w:rPr>
                <w:rFonts w:cs="Times New Roman" w:ascii="Times New Roman" w:hAnsi="Times New Roman"/>
                <w:spacing w:val="-1"/>
                <w:kern w:val="0"/>
                <w:sz w:val="24"/>
                <w:szCs w:val="24"/>
                <w:lang w:eastAsia="en-US" w:bidi="ar-SA"/>
              </w:rPr>
              <w:t xml:space="preserve"> </w:t>
            </w:r>
            <w:r>
              <w:rPr>
                <w:rFonts w:cs="Times New Roman" w:ascii="Times New Roman" w:hAnsi="Times New Roman"/>
                <w:kern w:val="0"/>
                <w:sz w:val="24"/>
                <w:szCs w:val="24"/>
                <w:lang w:eastAsia="en-US" w:bidi="ar-SA"/>
              </w:rPr>
              <w:t>logica di</w:t>
            </w:r>
            <w:r>
              <w:rPr>
                <w:rFonts w:cs="Times New Roman" w:ascii="Times New Roman" w:hAnsi="Times New Roman"/>
                <w:spacing w:val="-4"/>
                <w:kern w:val="0"/>
                <w:sz w:val="24"/>
                <w:szCs w:val="24"/>
                <w:lang w:eastAsia="en-US" w:bidi="ar-SA"/>
              </w:rPr>
              <w:t xml:space="preserve"> </w:t>
            </w:r>
            <w:r>
              <w:rPr>
                <w:rFonts w:cs="Times New Roman" w:ascii="Times New Roman" w:hAnsi="Times New Roman"/>
                <w:kern w:val="0"/>
                <w:sz w:val="24"/>
                <w:szCs w:val="24"/>
                <w:lang w:eastAsia="en-US" w:bidi="ar-SA"/>
              </w:rPr>
              <w:t>ottimizzazione</w:t>
            </w:r>
            <w:r>
              <w:rPr>
                <w:rFonts w:cs="Times New Roman" w:ascii="Times New Roman" w:hAnsi="Times New Roman"/>
                <w:spacing w:val="1"/>
                <w:kern w:val="0"/>
                <w:sz w:val="24"/>
                <w:szCs w:val="24"/>
                <w:lang w:eastAsia="en-US" w:bidi="ar-SA"/>
              </w:rPr>
              <w:t xml:space="preserve"> </w:t>
            </w:r>
            <w:r>
              <w:rPr>
                <w:rFonts w:cs="Times New Roman" w:ascii="Times New Roman" w:hAnsi="Times New Roman"/>
                <w:kern w:val="0"/>
                <w:sz w:val="24"/>
                <w:szCs w:val="24"/>
                <w:lang w:eastAsia="en-US" w:bidi="ar-SA"/>
              </w:rPr>
              <w:t>delle</w:t>
            </w:r>
            <w:r>
              <w:rPr>
                <w:rFonts w:cs="Times New Roman" w:ascii="Times New Roman" w:hAnsi="Times New Roman"/>
                <w:spacing w:val="-3"/>
                <w:kern w:val="0"/>
                <w:sz w:val="24"/>
                <w:szCs w:val="24"/>
                <w:lang w:eastAsia="en-US" w:bidi="ar-SA"/>
              </w:rPr>
              <w:t xml:space="preserve"> </w:t>
            </w:r>
            <w:r>
              <w:rPr>
                <w:rFonts w:cs="Times New Roman" w:ascii="Times New Roman" w:hAnsi="Times New Roman"/>
                <w:kern w:val="0"/>
                <w:sz w:val="24"/>
                <w:szCs w:val="24"/>
                <w:lang w:eastAsia="en-US" w:bidi="ar-SA"/>
              </w:rPr>
              <w:t>risorse</w:t>
            </w:r>
            <w:r>
              <w:rPr>
                <w:rFonts w:cs="Times New Roman" w:ascii="Times New Roman" w:hAnsi="Times New Roman"/>
                <w:spacing w:val="-2"/>
                <w:kern w:val="0"/>
                <w:sz w:val="24"/>
                <w:szCs w:val="24"/>
                <w:lang w:eastAsia="en-US" w:bidi="ar-SA"/>
              </w:rPr>
              <w:t xml:space="preserve"> </w:t>
            </w:r>
            <w:r>
              <w:rPr>
                <w:rFonts w:cs="Times New Roman" w:ascii="Times New Roman" w:hAnsi="Times New Roman"/>
                <w:kern w:val="0"/>
                <w:sz w:val="24"/>
                <w:szCs w:val="24"/>
                <w:lang w:eastAsia="en-US" w:bidi="ar-SA"/>
              </w:rPr>
              <w:t>e di sinergie.</w:t>
            </w:r>
          </w:p>
          <w:p>
            <w:pPr>
              <w:pStyle w:val="TableParagraph"/>
              <w:widowControl w:val="false"/>
              <w:tabs>
                <w:tab w:val="clear" w:pos="720"/>
                <w:tab w:val="left" w:pos="284" w:leader="none"/>
              </w:tabs>
              <w:suppressAutoHyphens w:val="true"/>
              <w:spacing w:before="0" w:after="0"/>
              <w:ind w:left="284" w:right="694" w:hanging="0"/>
              <w:jc w:val="both"/>
              <w:rPr>
                <w:rFonts w:ascii="Times New Roman" w:hAnsi="Times New Roman" w:cs="Times New Roman"/>
                <w:sz w:val="24"/>
                <w:szCs w:val="24"/>
              </w:rPr>
            </w:pPr>
            <w:r>
              <w:rPr>
                <w:rFonts w:cs="Times New Roman" w:ascii="Times New Roman" w:hAnsi="Times New Roman"/>
                <w:sz w:val="24"/>
                <w:szCs w:val="24"/>
              </w:rPr>
            </w:r>
          </w:p>
          <w:p>
            <w:pPr>
              <w:pStyle w:val="TableParagraph"/>
              <w:widowControl w:val="false"/>
              <w:numPr>
                <w:ilvl w:val="0"/>
                <w:numId w:val="3"/>
              </w:numPr>
              <w:tabs>
                <w:tab w:val="clear" w:pos="720"/>
                <w:tab w:val="left" w:pos="284" w:leader="none"/>
              </w:tabs>
              <w:suppressAutoHyphens w:val="true"/>
              <w:spacing w:before="0" w:after="0"/>
              <w:ind w:left="284" w:right="694" w:hanging="0"/>
              <w:jc w:val="both"/>
              <w:rPr>
                <w:rFonts w:ascii="Times New Roman" w:hAnsi="Times New Roman"/>
                <w:sz w:val="24"/>
                <w:szCs w:val="24"/>
              </w:rPr>
            </w:pPr>
            <w:r>
              <w:rPr>
                <w:rFonts w:cs="Times New Roman" w:ascii="Times New Roman" w:hAnsi="Times New Roman"/>
                <w:kern w:val="0"/>
                <w:sz w:val="24"/>
                <w:szCs w:val="24"/>
                <w:lang w:eastAsia="en-US" w:bidi="ar-SA"/>
              </w:rPr>
              <w:t>curricula</w:t>
            </w:r>
            <w:r>
              <w:rPr>
                <w:rFonts w:cs="Times New Roman" w:ascii="Times New Roman" w:hAnsi="Times New Roman"/>
                <w:spacing w:val="-3"/>
                <w:kern w:val="0"/>
                <w:sz w:val="24"/>
                <w:szCs w:val="24"/>
                <w:lang w:eastAsia="en-US" w:bidi="ar-SA"/>
              </w:rPr>
              <w:t xml:space="preserve"> </w:t>
            </w:r>
            <w:r>
              <w:rPr>
                <w:rFonts w:cs="Times New Roman" w:ascii="Times New Roman" w:hAnsi="Times New Roman"/>
                <w:kern w:val="0"/>
                <w:sz w:val="24"/>
                <w:szCs w:val="24"/>
                <w:lang w:eastAsia="en-US" w:bidi="ar-SA"/>
              </w:rPr>
              <w:t>operatori</w:t>
            </w:r>
            <w:r>
              <w:rPr>
                <w:rFonts w:cs="Times New Roman" w:ascii="Times New Roman" w:hAnsi="Times New Roman"/>
                <w:spacing w:val="-3"/>
                <w:kern w:val="0"/>
                <w:sz w:val="24"/>
                <w:szCs w:val="24"/>
                <w:lang w:eastAsia="en-US" w:bidi="ar-SA"/>
              </w:rPr>
              <w:t xml:space="preserve"> </w:t>
            </w:r>
            <w:r>
              <w:rPr>
                <w:rFonts w:cs="Times New Roman" w:ascii="Times New Roman" w:hAnsi="Times New Roman"/>
                <w:kern w:val="0"/>
                <w:sz w:val="24"/>
                <w:szCs w:val="24"/>
                <w:lang w:eastAsia="en-US" w:bidi="ar-SA"/>
              </w:rPr>
              <w:t>proposti</w:t>
            </w:r>
            <w:r>
              <w:rPr>
                <w:rFonts w:cs="Times New Roman" w:ascii="Times New Roman" w:hAnsi="Times New Roman"/>
                <w:spacing w:val="-2"/>
                <w:kern w:val="0"/>
                <w:sz w:val="24"/>
                <w:szCs w:val="24"/>
                <w:lang w:eastAsia="en-US" w:bidi="ar-SA"/>
              </w:rPr>
              <w:t xml:space="preserve"> </w:t>
            </w:r>
            <w:r>
              <w:rPr>
                <w:rFonts w:cs="Times New Roman" w:ascii="Times New Roman" w:hAnsi="Times New Roman"/>
                <w:kern w:val="0"/>
                <w:sz w:val="24"/>
                <w:szCs w:val="24"/>
                <w:lang w:eastAsia="en-US" w:bidi="ar-SA"/>
              </w:rPr>
              <w:t>per</w:t>
            </w:r>
            <w:r>
              <w:rPr>
                <w:rFonts w:cs="Times New Roman" w:ascii="Times New Roman" w:hAnsi="Times New Roman"/>
                <w:spacing w:val="-3"/>
                <w:kern w:val="0"/>
                <w:sz w:val="24"/>
                <w:szCs w:val="24"/>
                <w:lang w:eastAsia="en-US" w:bidi="ar-SA"/>
              </w:rPr>
              <w:t xml:space="preserve"> </w:t>
            </w:r>
            <w:r>
              <w:rPr>
                <w:rFonts w:cs="Times New Roman" w:ascii="Times New Roman" w:hAnsi="Times New Roman"/>
                <w:kern w:val="0"/>
                <w:sz w:val="24"/>
                <w:szCs w:val="24"/>
                <w:lang w:eastAsia="en-US" w:bidi="ar-SA"/>
              </w:rPr>
              <w:t>il</w:t>
            </w:r>
            <w:r>
              <w:rPr>
                <w:rFonts w:cs="Times New Roman" w:ascii="Times New Roman" w:hAnsi="Times New Roman"/>
                <w:spacing w:val="-2"/>
                <w:kern w:val="0"/>
                <w:sz w:val="24"/>
                <w:szCs w:val="24"/>
                <w:lang w:eastAsia="en-US" w:bidi="ar-SA"/>
              </w:rPr>
              <w:t xml:space="preserve"> </w:t>
            </w:r>
            <w:r>
              <w:rPr>
                <w:rFonts w:cs="Times New Roman" w:ascii="Times New Roman" w:hAnsi="Times New Roman"/>
                <w:kern w:val="0"/>
                <w:sz w:val="24"/>
                <w:szCs w:val="24"/>
                <w:lang w:eastAsia="en-US" w:bidi="ar-SA"/>
              </w:rPr>
              <w:t>servizio</w:t>
            </w:r>
          </w:p>
          <w:p>
            <w:pPr>
              <w:pStyle w:val="Normal"/>
              <w:widowControl w:val="false"/>
              <w:tabs>
                <w:tab w:val="clear" w:pos="720"/>
                <w:tab w:val="left" w:pos="284" w:leader="none"/>
                <w:tab w:val="left" w:pos="1134" w:leader="none"/>
                <w:tab w:val="left" w:pos="2268" w:leader="none"/>
                <w:tab w:val="left" w:pos="3402" w:leader="none"/>
                <w:tab w:val="left" w:pos="4536" w:leader="none"/>
              </w:tabs>
              <w:suppressAutoHyphens w:val="true"/>
              <w:spacing w:lineRule="auto" w:line="276" w:before="0" w:after="0"/>
              <w:ind w:left="284" w:right="694" w:hanging="0"/>
              <w:jc w:val="both"/>
              <w:rPr>
                <w:rFonts w:ascii="Times New Roman" w:hAnsi="Times New Roman" w:eastAsia="Arial Unicode MS" w:cs="Times New Roman"/>
                <w:sz w:val="24"/>
                <w:szCs w:val="24"/>
              </w:rPr>
            </w:pPr>
            <w:r>
              <w:rPr>
                <w:rFonts w:eastAsia="Arial Unicode MS" w:cs="Times New Roman" w:ascii="Times New Roman" w:hAnsi="Times New Roman"/>
                <w:sz w:val="24"/>
                <w:szCs w:val="24"/>
              </w:rPr>
            </w:r>
          </w:p>
        </w:tc>
        <w:tc>
          <w:tcPr>
            <w:tcW w:w="20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1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eastAsia="Arial MT" w:cs="Times New Roman"/>
                <w:sz w:val="24"/>
                <w:szCs w:val="24"/>
              </w:rPr>
            </w:pPr>
            <w:r>
              <w:rPr>
                <w:rFonts w:eastAsia="Arial MT" w:cs="Times New Roman" w:ascii="Times New Roman" w:hAnsi="Times New Roman"/>
                <w:sz w:val="24"/>
                <w:szCs w:val="24"/>
              </w:rPr>
            </w:r>
          </w:p>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kern w:val="0"/>
                <w:sz w:val="24"/>
                <w:szCs w:val="24"/>
                <w:lang w:eastAsia="en-US" w:bidi="ar-SA"/>
              </w:rPr>
              <w:t>10</w:t>
            </w:r>
          </w:p>
        </w:tc>
      </w:tr>
      <w:tr>
        <w:trPr>
          <w:trHeight w:val="532" w:hRule="atLeast"/>
        </w:trPr>
        <w:tc>
          <w:tcPr>
            <w:tcW w:w="267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tc>
        <w:tc>
          <w:tcPr>
            <w:tcW w:w="487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84" w:leader="none"/>
              </w:tabs>
              <w:suppressAutoHyphens w:val="true"/>
              <w:spacing w:before="0" w:after="0"/>
              <w:ind w:left="284" w:right="694" w:hanging="0"/>
              <w:jc w:val="center"/>
              <w:rPr>
                <w:rFonts w:ascii="Times New Roman" w:hAnsi="Times New Roman" w:cs="Times New Roman"/>
                <w:b/>
                <w:b/>
                <w:sz w:val="24"/>
                <w:szCs w:val="24"/>
              </w:rPr>
            </w:pPr>
            <w:r>
              <w:rPr>
                <w:rFonts w:cs="Times New Roman" w:ascii="Times New Roman" w:hAnsi="Times New Roman"/>
                <w:b/>
                <w:sz w:val="24"/>
                <w:szCs w:val="24"/>
              </w:rPr>
            </w:r>
          </w:p>
        </w:tc>
        <w:tc>
          <w:tcPr>
            <w:tcW w:w="20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kern w:val="0"/>
                <w:sz w:val="24"/>
                <w:szCs w:val="24"/>
                <w:lang w:eastAsia="en-US" w:bidi="ar-SA"/>
              </w:rPr>
              <w:t>85</w:t>
            </w:r>
          </w:p>
        </w:tc>
      </w:tr>
      <w:tr>
        <w:trPr>
          <w:trHeight w:val="532" w:hRule="atLeast"/>
        </w:trPr>
        <w:tc>
          <w:tcPr>
            <w:tcW w:w="28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left"/>
              <w:rPr>
                <w:rFonts w:ascii="Times New Roman" w:hAnsi="Times New Roman" w:eastAsia="Arial MT" w:cs="Times New Roman"/>
                <w:sz w:val="24"/>
                <w:szCs w:val="24"/>
              </w:rPr>
            </w:pPr>
            <w:r>
              <w:rPr>
                <w:rFonts w:eastAsia="Arial MT" w:cs="Times New Roman" w:ascii="Times New Roman" w:hAnsi="Times New Roman"/>
                <w:sz w:val="24"/>
                <w:szCs w:val="24"/>
              </w:rPr>
            </w:r>
          </w:p>
        </w:tc>
        <w:tc>
          <w:tcPr>
            <w:tcW w:w="2388"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84" w:leader="none"/>
              </w:tabs>
              <w:suppressAutoHyphens w:val="true"/>
              <w:spacing w:before="0" w:after="0"/>
              <w:ind w:left="284" w:right="694" w:hanging="0"/>
              <w:jc w:val="left"/>
              <w:rPr>
                <w:rFonts w:ascii="Times New Roman" w:hAnsi="Times New Roman" w:cs="Times New Roman"/>
                <w:b/>
                <w:b/>
                <w:sz w:val="24"/>
                <w:szCs w:val="24"/>
              </w:rPr>
            </w:pPr>
            <w:r>
              <w:rPr>
                <w:rFonts w:cs="Times New Roman" w:ascii="Times New Roman" w:hAnsi="Times New Roman"/>
                <w:b/>
                <w:sz w:val="24"/>
                <w:szCs w:val="24"/>
              </w:rPr>
            </w:r>
          </w:p>
        </w:tc>
        <w:tc>
          <w:tcPr>
            <w:tcW w:w="487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84" w:leader="none"/>
              </w:tabs>
              <w:suppressAutoHyphens w:val="true"/>
              <w:spacing w:before="0" w:after="0"/>
              <w:ind w:left="284" w:right="694" w:hanging="0"/>
              <w:jc w:val="left"/>
              <w:rPr>
                <w:rFonts w:ascii="Times New Roman" w:hAnsi="Times New Roman"/>
                <w:sz w:val="24"/>
                <w:szCs w:val="24"/>
              </w:rPr>
            </w:pPr>
            <w:r>
              <w:rPr>
                <w:rFonts w:cs="Times New Roman" w:ascii="Times New Roman" w:hAnsi="Times New Roman"/>
                <w:b/>
                <w:kern w:val="0"/>
                <w:sz w:val="24"/>
                <w:szCs w:val="24"/>
                <w:lang w:eastAsia="en-US" w:bidi="ar-SA"/>
              </w:rPr>
              <w:t xml:space="preserve"> </w:t>
            </w:r>
            <w:r>
              <w:rPr>
                <w:rFonts w:cs="Times New Roman" w:ascii="Times New Roman" w:hAnsi="Times New Roman"/>
                <w:b/>
                <w:kern w:val="0"/>
                <w:sz w:val="24"/>
                <w:szCs w:val="24"/>
                <w:lang w:eastAsia="en-US" w:bidi="ar-SA"/>
              </w:rPr>
              <w:t>Offerta economica</w:t>
            </w:r>
          </w:p>
        </w:tc>
        <w:tc>
          <w:tcPr>
            <w:tcW w:w="20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sz w:val="24"/>
                <w:szCs w:val="24"/>
              </w:rPr>
            </w:pPr>
            <w:r>
              <w:rPr>
                <w:rFonts w:eastAsia="Arial MT" w:cs="Times New Roman" w:ascii="Times New Roman" w:hAnsi="Times New Roman"/>
                <w:kern w:val="0"/>
                <w:sz w:val="24"/>
                <w:szCs w:val="24"/>
                <w:lang w:eastAsia="en-US" w:bidi="ar-SA"/>
              </w:rPr>
              <w:t xml:space="preserve">   </w:t>
            </w:r>
            <w:r>
              <w:rPr>
                <w:rFonts w:eastAsia="Arial MT" w:cs="Times New Roman" w:ascii="Times New Roman" w:hAnsi="Times New Roman"/>
                <w:kern w:val="0"/>
                <w:sz w:val="24"/>
                <w:szCs w:val="24"/>
                <w:lang w:eastAsia="en-US" w:bidi="ar-SA"/>
              </w:rPr>
              <w:t>15</w:t>
            </w:r>
          </w:p>
        </w:tc>
      </w:tr>
      <w:tr>
        <w:trPr>
          <w:trHeight w:val="532" w:hRule="atLeast"/>
        </w:trPr>
        <w:tc>
          <w:tcPr>
            <w:tcW w:w="7550"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284" w:leader="none"/>
              </w:tabs>
              <w:suppressAutoHyphens w:val="true"/>
              <w:spacing w:before="0" w:after="0"/>
              <w:ind w:left="284" w:right="694" w:hanging="0"/>
              <w:jc w:val="right"/>
              <w:rPr>
                <w:rFonts w:ascii="Times New Roman" w:hAnsi="Times New Roman"/>
                <w:sz w:val="24"/>
                <w:szCs w:val="24"/>
              </w:rPr>
            </w:pPr>
            <w:r>
              <w:rPr>
                <w:rFonts w:cs="Times New Roman" w:ascii="Times New Roman" w:hAnsi="Times New Roman"/>
                <w:b/>
                <w:kern w:val="0"/>
                <w:sz w:val="24"/>
                <w:szCs w:val="24"/>
                <w:lang w:eastAsia="en-US" w:bidi="ar-SA"/>
              </w:rPr>
              <w:t>totale</w:t>
            </w:r>
          </w:p>
        </w:tc>
        <w:tc>
          <w:tcPr>
            <w:tcW w:w="20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284" w:leader="none"/>
              </w:tabs>
              <w:suppressAutoHyphens w:val="true"/>
              <w:spacing w:before="0" w:after="0"/>
              <w:ind w:left="284" w:right="694" w:hanging="0"/>
              <w:jc w:val="center"/>
              <w:rPr>
                <w:rFonts w:ascii="Times New Roman" w:hAnsi="Times New Roman"/>
                <w:sz w:val="24"/>
                <w:szCs w:val="24"/>
              </w:rPr>
            </w:pPr>
            <w:r>
              <w:rPr>
                <w:rFonts w:eastAsia="Arial MT" w:cs="Times New Roman" w:ascii="Times New Roman" w:hAnsi="Times New Roman"/>
                <w:kern w:val="0"/>
                <w:sz w:val="24"/>
                <w:szCs w:val="24"/>
                <w:lang w:eastAsia="en-US" w:bidi="ar-SA"/>
              </w:rPr>
              <w:t>100</w:t>
            </w:r>
          </w:p>
        </w:tc>
      </w:tr>
    </w:tbl>
    <w:p>
      <w:pPr>
        <w:pStyle w:val="Normal"/>
        <w:tabs>
          <w:tab w:val="clear" w:pos="720"/>
          <w:tab w:val="left" w:pos="284" w:leader="none"/>
        </w:tabs>
        <w:ind w:left="284" w:right="694" w:hanging="0"/>
        <w:rPr>
          <w:rFonts w:ascii="Times New Roman" w:hAnsi="Times New Roman" w:cs="Times New Roman"/>
          <w:sz w:val="24"/>
          <w:szCs w:val="24"/>
        </w:rPr>
      </w:pPr>
      <w:r>
        <w:rPr>
          <w:rFonts w:cs="Times New Roman" w:ascii="Times New Roman" w:hAnsi="Times New Roman"/>
          <w:sz w:val="24"/>
          <w:szCs w:val="24"/>
        </w:rPr>
      </w:r>
    </w:p>
    <w:p>
      <w:pPr>
        <w:pStyle w:val="ListParagraph"/>
        <w:tabs>
          <w:tab w:val="clear" w:pos="720"/>
          <w:tab w:val="left" w:pos="284" w:leader="none"/>
        </w:tabs>
        <w:ind w:left="676" w:right="694" w:hanging="0"/>
        <w:rPr>
          <w:rFonts w:ascii="Times New Roman" w:hAnsi="Times New Roman"/>
          <w:sz w:val="24"/>
          <w:szCs w:val="24"/>
        </w:rPr>
      </w:pPr>
      <w:r>
        <w:rPr>
          <w:rFonts w:ascii="Times New Roman" w:hAnsi="Times New Roman"/>
          <w:sz w:val="24"/>
          <w:szCs w:val="24"/>
        </w:rPr>
      </w:r>
    </w:p>
    <w:p>
      <w:pPr>
        <w:pStyle w:val="Heading1"/>
        <w:jc w:val="left"/>
        <w:rPr>
          <w:rFonts w:ascii="Times New Roman" w:hAnsi="Times New Roman"/>
          <w:sz w:val="24"/>
          <w:szCs w:val="24"/>
        </w:rPr>
      </w:pPr>
      <w:r>
        <w:rPr>
          <w:rFonts w:cs="Times New Roman" w:ascii="Times New Roman" w:hAnsi="Times New Roman"/>
          <w:b w:val="false"/>
          <w:bCs w:val="false"/>
          <w:sz w:val="24"/>
          <w:szCs w:val="24"/>
        </w:rPr>
        <w:t>Il punteggio dell’offerta tecnica è attribuito sulla base dei criteri di valutazione elencati nella tabella di cui sopra con la relativa ripartizione dei punteggi.</w:t>
      </w:r>
    </w:p>
    <w:p>
      <w:pPr>
        <w:pStyle w:val="Heading1"/>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Heading1"/>
        <w:widowControl w:val="false"/>
        <w:tabs>
          <w:tab w:val="clear" w:pos="720"/>
          <w:tab w:val="left" w:pos="10267" w:leader="none"/>
        </w:tabs>
        <w:suppressAutoHyphens w:val="true"/>
        <w:bidi w:val="0"/>
        <w:spacing w:before="0" w:after="0"/>
        <w:ind w:left="283" w:right="0" w:hanging="0"/>
        <w:jc w:val="both"/>
        <w:rPr/>
      </w:pPr>
      <w:r>
        <w:rPr>
          <w:rStyle w:val="FontStyle51"/>
          <w:rFonts w:cs="Times New Roman" w:ascii="Times New Roman" w:hAnsi="Times New Roman"/>
          <w:b w:val="false"/>
          <w:bCs w:val="false"/>
          <w:sz w:val="24"/>
          <w:szCs w:val="24"/>
        </w:rPr>
        <w:t>Le Imprese concorrenti che, a seguito della valutazione dell'offerta tecnica, non</w:t>
        <w:br/>
        <w:t>raggiungano un punteggio minimo di 43</w:t>
      </w:r>
      <w:r>
        <w:rPr>
          <w:rStyle w:val="FontStyle52"/>
          <w:rFonts w:cs="Times New Roman" w:ascii="Times New Roman" w:hAnsi="Times New Roman"/>
          <w:b w:val="false"/>
          <w:bCs w:val="false"/>
          <w:sz w:val="24"/>
          <w:szCs w:val="24"/>
        </w:rPr>
        <w:t xml:space="preserve"> </w:t>
      </w:r>
      <w:r>
        <w:rPr>
          <w:rStyle w:val="FontStyle51"/>
          <w:rFonts w:cs="Times New Roman" w:ascii="Times New Roman" w:hAnsi="Times New Roman"/>
          <w:b w:val="false"/>
          <w:bCs w:val="false"/>
          <w:sz w:val="24"/>
          <w:szCs w:val="24"/>
        </w:rPr>
        <w:t>punti su un massimo di 8</w:t>
      </w:r>
      <w:r>
        <w:rPr>
          <w:rStyle w:val="FontStyle52"/>
          <w:rFonts w:cs="Times New Roman" w:ascii="Times New Roman" w:hAnsi="Times New Roman"/>
          <w:b w:val="false"/>
          <w:bCs w:val="false"/>
          <w:sz w:val="24"/>
          <w:szCs w:val="24"/>
        </w:rPr>
        <w:t xml:space="preserve">5 </w:t>
      </w:r>
      <w:r>
        <w:rPr>
          <w:rStyle w:val="FontStyle51"/>
          <w:rFonts w:cs="Times New Roman" w:ascii="Times New Roman" w:hAnsi="Times New Roman"/>
          <w:b w:val="false"/>
          <w:bCs w:val="false"/>
          <w:sz w:val="24"/>
          <w:szCs w:val="24"/>
        </w:rPr>
        <w:t>punti previsti, saranno</w:t>
        <w:br/>
        <w:t>escluse dalla gara in quanto ritenute non coerenti con gli standard funzionali e qualitativi</w:t>
        <w:br/>
        <w:t>minimi attesi dal Committente.</w:t>
      </w:r>
    </w:p>
    <w:p>
      <w:pPr>
        <w:pStyle w:val="Heading1"/>
        <w:jc w:val="left"/>
        <w:rPr>
          <w:rFonts w:ascii="Times New Roman" w:hAnsi="Times New Roman"/>
          <w:sz w:val="24"/>
          <w:szCs w:val="24"/>
        </w:rPr>
      </w:pPr>
      <w:r>
        <w:rPr>
          <w:rFonts w:cs="Times New Roman" w:ascii="Times New Roman" w:hAnsi="Times New Roman"/>
          <w:bCs w:val="false"/>
          <w:sz w:val="24"/>
          <w:szCs w:val="24"/>
        </w:rPr>
        <w:t>24.1. METODO DI ATTRIBUZIONE DEL COEFFICIENTE PER IL CALCOLO DEL PUNTEGGIO DELL’OFFERTA TECNICA</w:t>
      </w:r>
    </w:p>
    <w:p>
      <w:pPr>
        <w:pStyle w:val="Heading1"/>
        <w:widowControl w:val="false"/>
        <w:suppressAutoHyphens w:val="true"/>
        <w:bidi w:val="0"/>
        <w:spacing w:before="0" w:after="0"/>
        <w:ind w:left="227" w:right="0" w:hanging="0"/>
        <w:jc w:val="both"/>
        <w:rPr>
          <w:rFonts w:ascii="Times New Roman" w:hAnsi="Times New Roman"/>
          <w:sz w:val="24"/>
          <w:szCs w:val="24"/>
        </w:rPr>
      </w:pPr>
      <w:r>
        <w:rPr>
          <w:rFonts w:cs="Times New Roman" w:ascii="Times New Roman" w:hAnsi="Times New Roman"/>
          <w:b w:val="false"/>
          <w:bCs w:val="false"/>
          <w:sz w:val="24"/>
          <w:szCs w:val="24"/>
        </w:rPr>
        <w:t>A ciascuno degli elementi qualitativi cui è assegnato un punteggio discrezionale  è attribuito un coefficiente sulla base del metodo di attribuzione discrezionale di un coefficiente variabile da zero ad uno da parte di ciascun commissario sulla base della seguente scala di valutazione:</w:t>
      </w:r>
    </w:p>
    <w:p>
      <w:pPr>
        <w:pStyle w:val="Heading1"/>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tbl>
      <w:tblPr>
        <w:tblW w:w="6480" w:type="dxa"/>
        <w:jc w:val="left"/>
        <w:tblInd w:w="1608" w:type="dxa"/>
        <w:tblLayout w:type="fixed"/>
        <w:tblCellMar>
          <w:top w:w="0" w:type="dxa"/>
          <w:left w:w="108" w:type="dxa"/>
          <w:bottom w:w="0" w:type="dxa"/>
          <w:right w:w="108" w:type="dxa"/>
        </w:tblCellMar>
      </w:tblPr>
      <w:tblGrid>
        <w:gridCol w:w="3221"/>
        <w:gridCol w:w="3258"/>
      </w:tblGrid>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giudizio</w:t>
            </w:r>
          </w:p>
          <w:p>
            <w:pPr>
              <w:pStyle w:val="Heading1"/>
              <w:widowControl w:val="false"/>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coefficiente</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ECCELLENTE</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1,00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OTTIMO</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0,90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DISTINTO</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0,80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MOLTO BUONO</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0,70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BUONO</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0,60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SUFFICIENTE</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0,50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INSUFFICIENTE</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0,40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GRAVEMENTE</w:t>
            </w:r>
          </w:p>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INSUFFICIENTE</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0,30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SCARSO</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0,20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MOLTO SCARSO</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0,10</w:t>
            </w:r>
          </w:p>
        </w:tc>
      </w:tr>
      <w:tr>
        <w:trPr/>
        <w:tc>
          <w:tcPr>
            <w:tcW w:w="3221" w:type="dxa"/>
            <w:tcBorders>
              <w:top w:val="single" w:sz="4" w:space="0" w:color="000000"/>
              <w:left w:val="single" w:sz="4" w:space="0" w:color="000000"/>
              <w:bottom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ASSENTE</w:t>
            </w:r>
          </w:p>
        </w:tc>
        <w:tc>
          <w:tcPr>
            <w:tcW w:w="3258" w:type="dxa"/>
            <w:tcBorders>
              <w:top w:val="single" w:sz="4" w:space="0" w:color="000000"/>
              <w:left w:val="single" w:sz="4" w:space="0" w:color="000000"/>
              <w:bottom w:val="single" w:sz="4" w:space="0" w:color="000000"/>
              <w:right w:val="single" w:sz="4" w:space="0" w:color="000000"/>
            </w:tcBorders>
          </w:tcPr>
          <w:p>
            <w:pPr>
              <w:pStyle w:val="Heading1"/>
              <w:widowControl w:val="false"/>
              <w:rPr>
                <w:rFonts w:ascii="Times New Roman" w:hAnsi="Times New Roman"/>
                <w:sz w:val="24"/>
                <w:szCs w:val="24"/>
              </w:rPr>
            </w:pPr>
            <w:r>
              <w:rPr>
                <w:rFonts w:cs="Times New Roman" w:ascii="Times New Roman" w:hAnsi="Times New Roman"/>
                <w:b w:val="false"/>
                <w:bCs w:val="false"/>
                <w:sz w:val="24"/>
                <w:szCs w:val="24"/>
              </w:rPr>
              <w:t>0,00</w:t>
            </w:r>
          </w:p>
        </w:tc>
      </w:tr>
    </w:tbl>
    <w:p>
      <w:pPr>
        <w:pStyle w:val="Heading1"/>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Heading1"/>
        <w:widowControl w:val="false"/>
        <w:suppressAutoHyphens w:val="true"/>
        <w:bidi w:val="0"/>
        <w:spacing w:before="0" w:after="0"/>
        <w:ind w:left="283" w:right="0" w:hanging="0"/>
        <w:jc w:val="both"/>
        <w:rPr>
          <w:rFonts w:ascii="Times New Roman" w:hAnsi="Times New Roman"/>
          <w:sz w:val="24"/>
          <w:szCs w:val="24"/>
        </w:rPr>
      </w:pPr>
      <w:r>
        <w:rPr>
          <w:rFonts w:cs="Times New Roman" w:ascii="Times New Roman" w:hAnsi="Times New Roman"/>
          <w:b w:val="false"/>
          <w:bCs w:val="false"/>
          <w:sz w:val="24"/>
          <w:szCs w:val="24"/>
        </w:rPr>
        <w:t>Nel caso in cui le valutazioni non siano all’unanimità, si calcola la media aritmetica dei coefficienti attribuiti discrezionalmente dai singoli Commissari e la si moltiplica per il punteggio massimo a disposizione per ciascun sub-criterio.</w:t>
      </w:r>
    </w:p>
    <w:p>
      <w:pPr>
        <w:pStyle w:val="Heading1"/>
        <w:rPr>
          <w:rFonts w:ascii="Times New Roman" w:hAnsi="Times New Roman"/>
          <w:sz w:val="24"/>
          <w:szCs w:val="24"/>
        </w:rPr>
      </w:pPr>
      <w:r>
        <w:rPr>
          <w:rFonts w:ascii="Times New Roman" w:hAnsi="Times New Roman"/>
          <w:sz w:val="24"/>
          <w:szCs w:val="24"/>
        </w:rPr>
      </w:r>
    </w:p>
    <w:p>
      <w:pPr>
        <w:pStyle w:val="Heading1"/>
        <w:jc w:val="left"/>
        <w:rPr>
          <w:rFonts w:ascii="Times New Roman" w:hAnsi="Times New Roman"/>
          <w:sz w:val="24"/>
          <w:szCs w:val="24"/>
        </w:rPr>
      </w:pPr>
      <w:r>
        <w:rPr>
          <w:rFonts w:cs="Times New Roman" w:ascii="Times New Roman" w:hAnsi="Times New Roman"/>
          <w:bCs w:val="false"/>
          <w:sz w:val="24"/>
          <w:szCs w:val="24"/>
        </w:rPr>
        <w:t xml:space="preserve">24.2 </w:t>
      </w:r>
      <w:bookmarkStart w:id="4" w:name="_Ref498421792_Copy_1"/>
      <w:r>
        <w:rPr>
          <w:rFonts w:cs="Times New Roman" w:ascii="Times New Roman" w:hAnsi="Times New Roman"/>
          <w:bCs w:val="false"/>
          <w:sz w:val="24"/>
          <w:szCs w:val="24"/>
        </w:rPr>
        <w:t>METODO DI ATTRIBUZIONE DEL COEFFICIENTE PER IL CALCOLO DEL PUNTEGGIO DELL’OFFERTA ECONOMICA</w:t>
      </w:r>
      <w:bookmarkEnd w:id="4"/>
    </w:p>
    <w:p>
      <w:pPr>
        <w:pStyle w:val="Heading1"/>
        <w:widowControl w:val="false"/>
        <w:suppressAutoHyphens w:val="true"/>
        <w:bidi w:val="0"/>
        <w:spacing w:before="0" w:after="0"/>
        <w:ind w:left="283" w:right="0" w:hanging="0"/>
        <w:jc w:val="both"/>
        <w:rPr>
          <w:rFonts w:ascii="Times New Roman" w:hAnsi="Times New Roman"/>
          <w:sz w:val="24"/>
          <w:szCs w:val="24"/>
        </w:rPr>
      </w:pPr>
      <w:r>
        <w:rPr>
          <w:rFonts w:cs="Times New Roman" w:ascii="Times New Roman" w:hAnsi="Times New Roman"/>
          <w:b w:val="false"/>
          <w:bCs w:val="false"/>
          <w:color w:val="000000"/>
          <w:sz w:val="24"/>
          <w:szCs w:val="24"/>
          <w:lang w:eastAsia="en-US"/>
        </w:rPr>
        <w:t xml:space="preserve">Quanto all’offerta economica, è attribuito all’elemento economico un coefficiente, variabile da zero ad uno, calcolato tramite la </w:t>
      </w:r>
      <w:r>
        <w:rPr>
          <w:rFonts w:cs="Times New Roman" w:ascii="Times New Roman" w:hAnsi="Times New Roman"/>
          <w:b w:val="false"/>
          <w:bCs w:val="false"/>
          <w:sz w:val="24"/>
          <w:szCs w:val="24"/>
        </w:rPr>
        <w:t xml:space="preserve">Formula “bilineare” </w:t>
      </w:r>
    </w:p>
    <w:p>
      <w:pPr>
        <w:pStyle w:val="Normal"/>
        <w:jc w:val="center"/>
        <w:rPr>
          <w:rFonts w:ascii="Times New Roman" w:hAnsi="Times New Roman"/>
          <w:sz w:val="24"/>
          <w:szCs w:val="24"/>
        </w:rPr>
      </w:pPr>
      <w:r>
        <w:rPr/>
      </w:r>
      <m:oMathPara xmlns:m="http://schemas.openxmlformats.org/officeDocument/2006/math">
        <m:oMathParaPr>
          <m:jc m:val="center"/>
        </m:oMathParaPr>
        <m:oMath>
          <m:d>
            <m:dPr>
              <m:begChr m:val="{"/>
              <m:endChr m:val="}"/>
            </m:dPr>
            <m:e>
              <m:eqArr>
                <m:e>
                  <m:sSub>
                    <m:e>
                      <m:r>
                        <w:rPr>
                          <w:rFonts w:ascii="Cambria Math" w:hAnsi="Cambria Math"/>
                        </w:rPr>
                        <m:t xml:space="preserve">C</m:t>
                      </m:r>
                    </m:e>
                    <m:sub>
                      <m:r>
                        <w:rPr>
                          <w:rFonts w:ascii="Cambria Math" w:hAnsi="Cambria Math"/>
                        </w:rPr>
                        <m:t xml:space="preserve">i</m:t>
                      </m:r>
                    </m:sub>
                  </m:sSub>
                  <m:r>
                    <m:rPr>
                      <m:lit/>
                      <m:nor/>
                    </m:rPr>
                    <w:rPr>
                      <w:rFonts w:ascii="Cambria Math" w:hAnsi="Cambria Math"/>
                    </w:rPr>
                    <m:t xml:space="preserve">=X∙</m:t>
                  </m:r>
                  <m:d>
                    <m:dPr>
                      <m:begChr m:val="("/>
                      <m:endChr m:val=")"/>
                    </m:dPr>
                    <m:e>
                      <m:f>
                        <m:num>
                          <m:sSub>
                            <m:e>
                              <m:r>
                                <w:rPr>
                                  <w:rFonts w:ascii="Cambria Math" w:hAnsi="Cambria Math"/>
                                </w:rPr>
                                <m:t xml:space="preserve">A</m:t>
                              </m:r>
                            </m:e>
                            <m:sub>
                              <m:r>
                                <w:rPr>
                                  <w:rFonts w:ascii="Cambria Math" w:hAnsi="Cambria Math"/>
                                </w:rPr>
                                <m:t xml:space="preserve">i</m:t>
                              </m:r>
                            </m:sub>
                          </m:sSub>
                        </m:num>
                        <m:den>
                          <m:sSub>
                            <m:e>
                              <m:r>
                                <w:rPr>
                                  <w:rFonts w:ascii="Cambria Math" w:hAnsi="Cambria Math"/>
                                </w:rPr>
                                <m:t xml:space="preserve">A</m:t>
                              </m:r>
                            </m:e>
                            <m:sub>
                              <m:r>
                                <m:rPr>
                                  <m:lit/>
                                  <m:nor/>
                                </m:rPr>
                                <w:rPr>
                                  <w:rFonts w:ascii="Cambria Math" w:hAnsi="Cambria Math"/>
                                </w:rPr>
                                <m:t xml:space="preserve">soglia</m:t>
                              </m:r>
                            </m:sub>
                          </m:sSub>
                        </m:den>
                      </m:f>
                    </m:e>
                  </m:d>
                  <m:sSub>
                    <m:e>
                      <m:r>
                        <w:rPr>
                          <w:rFonts w:ascii="Cambria Math" w:hAnsi="Cambria Math"/>
                        </w:rPr>
                        <m:t xml:space="preserve">A</m:t>
                      </m:r>
                    </m:e>
                    <m:sub>
                      <m:r>
                        <w:rPr>
                          <w:rFonts w:ascii="Cambria Math" w:hAnsi="Cambria Math"/>
                        </w:rPr>
                        <m:t xml:space="preserve">i</m:t>
                      </m:r>
                    </m:sub>
                  </m:sSub>
                  <m:r>
                    <w:rPr>
                      <w:rFonts w:ascii="Cambria Math" w:hAnsi="Cambria Math"/>
                    </w:rPr>
                    <m:t xml:space="preserve">≤</m:t>
                  </m:r>
                  <m:sSub>
                    <m:e>
                      <m:r>
                        <w:rPr>
                          <w:rFonts w:ascii="Cambria Math" w:hAnsi="Cambria Math"/>
                        </w:rPr>
                        <m:t xml:space="preserve">A</m:t>
                      </m:r>
                    </m:e>
                    <m:sub>
                      <m:r>
                        <m:rPr>
                          <m:lit/>
                          <m:nor/>
                        </m:rPr>
                        <w:rPr>
                          <w:rFonts w:ascii="Cambria Math" w:hAnsi="Cambria Math"/>
                        </w:rPr>
                        <m:t xml:space="preserve">soglia</m:t>
                      </m:r>
                    </m:sub>
                  </m:sSub>
                </m:e>
                <m:e>
                  <m:sSub>
                    <m:e>
                      <m:r>
                        <w:rPr>
                          <w:rFonts w:ascii="Cambria Math" w:hAnsi="Cambria Math"/>
                        </w:rPr>
                        <m:t xml:space="preserve">C</m:t>
                      </m:r>
                    </m:e>
                    <m:sub>
                      <m:r>
                        <w:rPr>
                          <w:rFonts w:ascii="Cambria Math" w:hAnsi="Cambria Math"/>
                        </w:rPr>
                        <m:t xml:space="preserve">i</m:t>
                      </m:r>
                    </m:sub>
                  </m:sSub>
                  <m:r>
                    <m:rPr>
                      <m:lit/>
                      <m:nor/>
                    </m:rPr>
                    <w:rPr>
                      <w:rFonts w:ascii="Cambria Math" w:hAnsi="Cambria Math"/>
                    </w:rPr>
                    <m:t xml:space="preserve">=X+</m:t>
                  </m:r>
                  <m:d>
                    <m:dPr>
                      <m:begChr m:val="("/>
                      <m:endChr m:val=")"/>
                    </m:dPr>
                    <m:e>
                      <m:r>
                        <w:rPr>
                          <w:rFonts w:ascii="Cambria Math" w:hAnsi="Cambria Math"/>
                        </w:rPr>
                        <m:t xml:space="preserve">1</m:t>
                      </m:r>
                      <m:r>
                        <w:rPr>
                          <w:rFonts w:ascii="Cambria Math" w:hAnsi="Cambria Math"/>
                        </w:rPr>
                        <m:t xml:space="preserve">−</m:t>
                      </m:r>
                      <m:r>
                        <w:rPr>
                          <w:rFonts w:ascii="Cambria Math" w:hAnsi="Cambria Math"/>
                        </w:rPr>
                        <m:t xml:space="preserve">X</m:t>
                      </m:r>
                    </m:e>
                  </m:d>
                  <m:r>
                    <w:rPr>
                      <w:rFonts w:ascii="Cambria Math" w:hAnsi="Cambria Math"/>
                    </w:rPr>
                    <m:t xml:space="preserve">∙</m:t>
                  </m:r>
                  <m:d>
                    <m:dPr>
                      <m:begChr m:val="["/>
                      <m:endChr m:val="]"/>
                    </m:dPr>
                    <m:e>
                      <m:f>
                        <m:num>
                          <m:d>
                            <m:dPr>
                              <m:begChr m:val="("/>
                              <m:endChr m:val=")"/>
                            </m:dPr>
                            <m:e>
                              <m:sSub>
                                <m:e>
                                  <m:r>
                                    <w:rPr>
                                      <w:rFonts w:ascii="Cambria Math" w:hAnsi="Cambria Math"/>
                                    </w:rPr>
                                    <m:t xml:space="preserve">A</m:t>
                                  </m:r>
                                </m:e>
                                <m:sub>
                                  <m:r>
                                    <w:rPr>
                                      <w:rFonts w:ascii="Cambria Math" w:hAnsi="Cambria Math"/>
                                    </w:rPr>
                                    <m:t xml:space="preserve">i</m:t>
                                  </m:r>
                                </m:sub>
                              </m:sSub>
                              <m:r>
                                <w:rPr>
                                  <w:rFonts w:ascii="Cambria Math" w:hAnsi="Cambria Math"/>
                                </w:rPr>
                                <m:t xml:space="preserve">−</m:t>
                              </m:r>
                              <m:sSub>
                                <m:e>
                                  <m:r>
                                    <w:rPr>
                                      <w:rFonts w:ascii="Cambria Math" w:hAnsi="Cambria Math"/>
                                    </w:rPr>
                                    <m:t xml:space="preserve">A</m:t>
                                  </m:r>
                                </m:e>
                                <m:sub>
                                  <m:r>
                                    <m:rPr>
                                      <m:lit/>
                                      <m:nor/>
                                    </m:rPr>
                                    <w:rPr>
                                      <w:rFonts w:ascii="Cambria Math" w:hAnsi="Cambria Math"/>
                                    </w:rPr>
                                    <m:t xml:space="preserve">soglia</m:t>
                                  </m:r>
                                </m:sub>
                              </m:sSub>
                            </m:e>
                          </m:d>
                        </m:num>
                        <m:den>
                          <m:d>
                            <m:dPr>
                              <m:begChr m:val="("/>
                              <m:endChr m:val=")"/>
                            </m:dPr>
                            <m:e>
                              <m:sSub>
                                <m:e>
                                  <m:r>
                                    <w:rPr>
                                      <w:rFonts w:ascii="Cambria Math" w:hAnsi="Cambria Math"/>
                                    </w:rPr>
                                    <m:t xml:space="preserve">A</m:t>
                                  </m:r>
                                </m:e>
                                <m:sub>
                                  <m:r>
                                    <m:rPr>
                                      <m:lit/>
                                      <m:nor/>
                                    </m:rPr>
                                    <w:rPr>
                                      <w:rFonts w:ascii="Cambria Math" w:hAnsi="Cambria Math"/>
                                    </w:rPr>
                                    <m:t xml:space="preserve">max</m:t>
                                  </m:r>
                                </m:sub>
                              </m:sSub>
                              <m:r>
                                <w:rPr>
                                  <w:rFonts w:ascii="Cambria Math" w:hAnsi="Cambria Math"/>
                                </w:rPr>
                                <m:t xml:space="preserve">−</m:t>
                              </m:r>
                              <m:sSub>
                                <m:e>
                                  <m:r>
                                    <w:rPr>
                                      <w:rFonts w:ascii="Cambria Math" w:hAnsi="Cambria Math"/>
                                    </w:rPr>
                                    <m:t xml:space="preserve">A</m:t>
                                  </m:r>
                                </m:e>
                                <m:sub>
                                  <m:r>
                                    <m:rPr>
                                      <m:lit/>
                                      <m:nor/>
                                    </m:rPr>
                                    <w:rPr>
                                      <w:rFonts w:ascii="Cambria Math" w:hAnsi="Cambria Math"/>
                                    </w:rPr>
                                    <m:t xml:space="preserve">soglia</m:t>
                                  </m:r>
                                </m:sub>
                              </m:sSub>
                            </m:e>
                          </m:d>
                        </m:den>
                      </m:f>
                    </m:e>
                  </m:d>
                  <m:sSub>
                    <m:e>
                      <m:r>
                        <w:rPr>
                          <w:rFonts w:ascii="Cambria Math" w:hAnsi="Cambria Math"/>
                        </w:rPr>
                        <m:t xml:space="preserve">A</m:t>
                      </m:r>
                    </m:e>
                    <m:sub>
                      <m:r>
                        <w:rPr>
                          <w:rFonts w:ascii="Cambria Math" w:hAnsi="Cambria Math"/>
                        </w:rPr>
                        <m:t xml:space="preserve">i</m:t>
                      </m:r>
                    </m:sub>
                  </m:sSub>
                  <m:sSub>
                    <m:e>
                      <m:r>
                        <m:rPr>
                          <m:lit/>
                          <m:nor/>
                        </m:rPr>
                        <w:rPr>
                          <w:rFonts w:ascii="Cambria Math" w:hAnsi="Cambria Math"/>
                        </w:rPr>
                        <m:t xml:space="preserve">&gt;A</m:t>
                      </m:r>
                    </m:e>
                    <m:sub>
                      <m:r>
                        <m:rPr>
                          <m:lit/>
                          <m:nor/>
                        </m:rPr>
                        <w:rPr>
                          <w:rFonts w:ascii="Cambria Math" w:hAnsi="Cambria Math"/>
                        </w:rPr>
                        <m:t xml:space="preserve">soglia</m:t>
                      </m:r>
                    </m:sub>
                  </m:sSub>
                </m:e>
              </m:eqArr>
            </m:e>
          </m:d>
        </m:oMath>
      </m:oMathPara>
    </w:p>
    <w:p>
      <w:pPr>
        <w:pStyle w:val="Normal"/>
        <w:rPr>
          <w:rFonts w:ascii="Times New Roman" w:hAnsi="Times New Roman"/>
          <w:sz w:val="24"/>
          <w:szCs w:val="24"/>
        </w:rPr>
      </w:pPr>
      <w:r>
        <w:rPr>
          <w:rFonts w:ascii="Times New Roman" w:hAnsi="Times New Roman"/>
          <w:sz w:val="24"/>
          <w:szCs w:val="24"/>
        </w:rPr>
        <w:t>dove</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C</m:t>
            </m:r>
          </m:e>
          <m:sub>
            <m:r>
              <w:rPr>
                <w:rFonts w:ascii="Cambria Math" w:hAnsi="Cambria Math"/>
              </w:rPr>
              <m:t xml:space="preserve">i</m:t>
            </m:r>
          </m:sub>
        </m:sSub>
      </m:oMath>
      <w:r>
        <w:rPr>
          <w:rFonts w:ascii="Times New Roman" w:hAnsi="Times New Roman"/>
          <w:sz w:val="24"/>
          <w:szCs w:val="24"/>
        </w:rPr>
        <w:t xml:space="preserve"> </w:t>
      </w:r>
      <w:r>
        <w:rPr>
          <w:rFonts w:ascii="Times New Roman" w:hAnsi="Times New Roman"/>
          <w:sz w:val="24"/>
          <w:szCs w:val="24"/>
        </w:rPr>
        <w:t>= coefficiente attribuito al concorrente i-esimo</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A</m:t>
            </m:r>
          </m:e>
          <m:sub>
            <m:r>
              <w:rPr>
                <w:rFonts w:ascii="Cambria Math" w:hAnsi="Cambria Math"/>
              </w:rPr>
              <m:t xml:space="preserve">i</m:t>
            </m:r>
          </m:sub>
        </m:sSub>
      </m:oMath>
      <w:r>
        <w:rPr>
          <w:rFonts w:ascii="Times New Roman" w:hAnsi="Times New Roman"/>
          <w:sz w:val="24"/>
          <w:szCs w:val="24"/>
        </w:rPr>
        <w:t xml:space="preserve"> </w:t>
      </w:r>
      <w:r>
        <w:rPr>
          <w:rFonts w:ascii="Times New Roman" w:hAnsi="Times New Roman"/>
          <w:sz w:val="24"/>
          <w:szCs w:val="24"/>
        </w:rPr>
        <w:t>= ribasso percentuale del concorrente i-esimo</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A</m:t>
            </m:r>
          </m:e>
          <m:sub>
            <m:r>
              <m:rPr>
                <m:lit/>
                <m:nor/>
              </m:rPr>
              <w:rPr>
                <w:rFonts w:ascii="Cambria Math" w:hAnsi="Cambria Math"/>
              </w:rPr>
              <m:t xml:space="preserve">soglia</m:t>
            </m:r>
          </m:sub>
        </m:sSub>
      </m:oMath>
      <w:r>
        <w:rPr>
          <w:rFonts w:ascii="Times New Roman" w:hAnsi="Times New Roman"/>
          <w:sz w:val="24"/>
          <w:szCs w:val="24"/>
        </w:rPr>
        <w:t>= media percentuale dei valori del ribasso percentuale offerto dai concorrenti</w:t>
      </w:r>
    </w:p>
    <w:p>
      <w:pPr>
        <w:pStyle w:val="Normal"/>
        <w:rPr>
          <w:rFonts w:ascii="Times New Roman" w:hAnsi="Times New Roman"/>
          <w:sz w:val="24"/>
          <w:szCs w:val="24"/>
        </w:rPr>
      </w:pPr>
      <w:r>
        <w:rPr>
          <w:rFonts w:ascii="Times New Roman" w:hAnsi="Times New Roman"/>
          <w:sz w:val="24"/>
          <w:szCs w:val="24"/>
        </w:rPr>
        <w:t xml:space="preserve">X = 0,85 </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A</m:t>
            </m:r>
          </m:e>
          <m:sub>
            <m:r>
              <m:rPr>
                <m:lit/>
                <m:nor/>
              </m:rPr>
              <w:rPr>
                <w:rFonts w:ascii="Cambria Math" w:hAnsi="Cambria Math"/>
              </w:rPr>
              <m:t xml:space="preserve">max</m:t>
            </m:r>
          </m:sub>
        </m:sSub>
      </m:oMath>
      <w:r>
        <w:rPr>
          <w:rFonts w:ascii="Times New Roman" w:hAnsi="Times New Roman"/>
          <w:sz w:val="24"/>
          <w:szCs w:val="24"/>
        </w:rPr>
        <w:t xml:space="preserve"> </w:t>
      </w:r>
      <w:r>
        <w:rPr>
          <w:rFonts w:ascii="Times New Roman" w:hAnsi="Times New Roman"/>
          <w:sz w:val="24"/>
          <w:szCs w:val="24"/>
        </w:rPr>
        <w:t>= valore del ribasso più conveniente</w:t>
      </w:r>
    </w:p>
    <w:p>
      <w:pPr>
        <w:pStyle w:val="Heading1"/>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sz w:val="24"/>
          <w:szCs w:val="24"/>
        </w:rPr>
      </w:pPr>
      <w:bookmarkStart w:id="5" w:name="_Ref497226795_Copy_1"/>
      <w:r>
        <w:rPr>
          <w:rFonts w:cs="Times New Roman" w:ascii="Times New Roman" w:hAnsi="Times New Roman"/>
          <w:sz w:val="24"/>
          <w:szCs w:val="24"/>
        </w:rPr>
        <w:t>METODO DI CALCOLO DEI PUNTEGGI</w:t>
      </w:r>
      <w:bookmarkEnd w:id="5"/>
    </w:p>
    <w:p>
      <w:pPr>
        <w:pStyle w:val="Heading1"/>
        <w:widowControl w:val="false"/>
        <w:suppressAutoHyphens w:val="true"/>
        <w:bidi w:val="0"/>
        <w:spacing w:before="0" w:after="0"/>
        <w:ind w:left="0" w:right="0" w:hanging="57"/>
        <w:jc w:val="left"/>
        <w:rPr>
          <w:rFonts w:ascii="Times New Roman" w:hAnsi="Times New Roman"/>
          <w:sz w:val="24"/>
          <w:szCs w:val="24"/>
        </w:rPr>
      </w:pPr>
      <w:r>
        <w:rPr>
          <w:rFonts w:cs="Times New Roman" w:ascii="Times New Roman" w:hAnsi="Times New Roman"/>
          <w:b w:val="false"/>
          <w:sz w:val="24"/>
          <w:szCs w:val="24"/>
        </w:rPr>
        <w:t xml:space="preserve">La commissione, terminata l’attribuzione dei coefficienti agli elementi qualitativi e quantitativi, procede, in relazione a ciascuna offerta, all’attribuzione dei punteggi per ogni singolo criterio secondo il </w:t>
      </w:r>
      <w:r>
        <w:rPr>
          <w:rFonts w:cs="Times New Roman" w:ascii="Times New Roman" w:hAnsi="Times New Roman"/>
          <w:b w:val="false"/>
          <w:i/>
          <w:sz w:val="24"/>
          <w:szCs w:val="24"/>
          <w:lang w:eastAsia="it-IT"/>
        </w:rPr>
        <w:t xml:space="preserve"> metodo aggregativo-compensatore.</w:t>
      </w:r>
    </w:p>
    <w:p>
      <w:pPr>
        <w:pStyle w:val="Heading1"/>
        <w:rPr>
          <w:rFonts w:ascii="Times New Roman" w:hAnsi="Times New Roman" w:cs="Times New Roman"/>
          <w:b w:val="false"/>
          <w:b w:val="false"/>
          <w:sz w:val="24"/>
          <w:szCs w:val="24"/>
        </w:rPr>
      </w:pPr>
      <w:r>
        <w:rPr>
          <w:rFonts w:cs="Times New Roman" w:ascii="Times New Roman" w:hAnsi="Times New Roman"/>
          <w:b w:val="false"/>
          <w:sz w:val="24"/>
          <w:szCs w:val="24"/>
        </w:rPr>
      </w:r>
    </w:p>
    <w:p>
      <w:pPr>
        <w:pStyle w:val="Heading1"/>
        <w:rPr>
          <w:rFonts w:ascii="Times New Roman" w:hAnsi="Times New Roman"/>
          <w:sz w:val="24"/>
          <w:szCs w:val="24"/>
        </w:rPr>
      </w:pPr>
      <w:r>
        <w:rPr>
          <w:rFonts w:cs="Times New Roman" w:ascii="Times New Roman" w:hAnsi="Times New Roman"/>
          <w:b w:val="false"/>
          <w:sz w:val="24"/>
          <w:szCs w:val="24"/>
        </w:rPr>
        <w:t xml:space="preserve">Il punteggio per il concorrente </w:t>
      </w:r>
      <w:r>
        <w:rPr>
          <w:rFonts w:cs="Times New Roman" w:ascii="Times New Roman" w:hAnsi="Times New Roman"/>
          <w:b w:val="false"/>
          <w:i/>
          <w:sz w:val="24"/>
          <w:szCs w:val="24"/>
        </w:rPr>
        <w:t>i-esimo</w:t>
      </w:r>
      <w:r>
        <w:rPr>
          <w:rFonts w:cs="Times New Roman" w:ascii="Times New Roman" w:hAnsi="Times New Roman"/>
          <w:b w:val="false"/>
          <w:sz w:val="24"/>
          <w:szCs w:val="24"/>
        </w:rPr>
        <w:t xml:space="preserve"> è dato dalla seguente formula:</w:t>
      </w:r>
    </w:p>
    <w:p>
      <w:pPr>
        <w:pStyle w:val="Normal"/>
        <w:jc w:val="center"/>
        <w:rPr>
          <w:rFonts w:ascii="Times New Roman" w:hAnsi="Times New Roman"/>
          <w:sz w:val="24"/>
          <w:szCs w:val="24"/>
        </w:rPr>
      </w:pPr>
      <w:r>
        <w:rPr/>
      </w:r>
      <m:oMathPara xmlns:m="http://schemas.openxmlformats.org/officeDocument/2006/math">
        <m:oMathParaPr>
          <m:jc m:val="center"/>
        </m:oMathParaPr>
        <m:oMath>
          <m:sSub>
            <m:e>
              <m:r>
                <w:rPr>
                  <w:rFonts w:ascii="Cambria Math" w:hAnsi="Cambria Math"/>
                </w:rPr>
                <m:t xml:space="preserve">P</m:t>
              </m:r>
            </m:e>
            <m:sub>
              <m:r>
                <w:rPr>
                  <w:rFonts w:ascii="Cambria Math" w:hAnsi="Cambria Math"/>
                </w:rPr>
                <m:t xml:space="preserve">i</m:t>
              </m:r>
            </m:sub>
          </m:sSub>
          <m:r>
            <w:rPr>
              <w:rFonts w:ascii="Cambria Math" w:hAnsi="Cambria Math"/>
            </w:rPr>
            <m:t xml:space="preserve">=</m:t>
          </m:r>
          <m:nary>
            <m:naryPr>
              <m:chr m:val="∑"/>
            </m:naryPr>
            <m:sub>
              <m:r>
                <m:rPr>
                  <m:lit/>
                  <m:nor/>
                </m:rPr>
                <w:rPr>
                  <w:rFonts w:ascii="Cambria Math" w:hAnsi="Cambria Math"/>
                </w:rPr>
                <m:t xml:space="preserve">x=</m:t>
              </m:r>
              <m:r>
                <w:rPr>
                  <w:rFonts w:ascii="Cambria Math" w:hAnsi="Cambria Math"/>
                </w:rPr>
                <m:t xml:space="preserve">1</m:t>
              </m:r>
            </m:sub>
            <m:sup>
              <m:r>
                <w:rPr>
                  <w:rFonts w:ascii="Cambria Math" w:hAnsi="Cambria Math"/>
                </w:rPr>
                <m:t xml:space="preserve">n</m:t>
              </m:r>
            </m:sup>
            <m:e>
              <m:sSub>
                <m:e>
                  <m:r>
                    <w:rPr>
                      <w:rFonts w:ascii="Cambria Math" w:hAnsi="Cambria Math"/>
                    </w:rPr>
                    <m:t xml:space="preserve">C</m:t>
                  </m:r>
                </m:e>
                <m:sub>
                  <m:r>
                    <m:rPr>
                      <m:lit/>
                      <m:nor/>
                    </m:rPr>
                    <w:rPr>
                      <w:rFonts w:ascii="Cambria Math" w:hAnsi="Cambria Math"/>
                    </w:rPr>
                    <m:t xml:space="preserve">xi</m:t>
                  </m:r>
                </m:sub>
              </m:sSub>
              <m:sSub>
                <m:e>
                  <m:r>
                    <m:rPr>
                      <m:lit/>
                      <m:nor/>
                    </m:rPr>
                    <w:rPr>
                      <w:rFonts w:ascii="Cambria Math" w:hAnsi="Cambria Math"/>
                    </w:rPr>
                    <m:t xml:space="preserve">∙P</m:t>
                  </m:r>
                </m:e>
                <m:sub>
                  <m:r>
                    <w:rPr>
                      <w:rFonts w:ascii="Cambria Math" w:hAnsi="Cambria Math"/>
                    </w:rPr>
                    <m:t xml:space="preserve">x</m:t>
                  </m:r>
                </m:sub>
              </m:sSub>
            </m:e>
          </m:nary>
        </m:oMath>
      </m:oMathPara>
    </w:p>
    <w:p>
      <w:pPr>
        <w:pStyle w:val="Normal"/>
        <w:rPr>
          <w:rFonts w:ascii="Times New Roman" w:hAnsi="Times New Roman"/>
          <w:sz w:val="24"/>
          <w:szCs w:val="24"/>
        </w:rPr>
      </w:pPr>
      <w:r>
        <w:rPr>
          <w:rFonts w:ascii="Times New Roman" w:hAnsi="Times New Roman"/>
          <w:sz w:val="24"/>
          <w:szCs w:val="24"/>
        </w:rPr>
        <w:t>dove</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P</m:t>
            </m:r>
          </m:e>
          <m:sub>
            <m:r>
              <w:rPr>
                <w:rFonts w:ascii="Cambria Math" w:hAnsi="Cambria Math"/>
              </w:rPr>
              <m:t xml:space="preserve">i</m:t>
            </m:r>
          </m:sub>
        </m:sSub>
      </m:oMath>
      <w:r>
        <w:rPr>
          <w:rFonts w:ascii="Times New Roman" w:hAnsi="Times New Roman"/>
          <w:sz w:val="24"/>
          <w:szCs w:val="24"/>
        </w:rPr>
        <w:t xml:space="preserve">= punteggio del concorrente </w:t>
      </w:r>
      <w:r>
        <w:rPr>
          <w:rFonts w:ascii="Times New Roman" w:hAnsi="Times New Roman"/>
          <w:i/>
          <w:sz w:val="24"/>
          <w:szCs w:val="24"/>
        </w:rPr>
        <w:t>i-esimo</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C</m:t>
            </m:r>
          </m:e>
          <m:sub>
            <m:r>
              <m:rPr>
                <m:lit/>
                <m:nor/>
              </m:rPr>
              <w:rPr>
                <w:rFonts w:ascii="Cambria Math" w:hAnsi="Cambria Math"/>
              </w:rPr>
              <m:t xml:space="preserve">xi</m:t>
            </m:r>
          </m:sub>
        </m:sSub>
      </m:oMath>
      <w:r>
        <w:rPr>
          <w:rFonts w:ascii="Times New Roman" w:hAnsi="Times New Roman"/>
          <w:sz w:val="24"/>
          <w:szCs w:val="24"/>
        </w:rPr>
        <w:t xml:space="preserve"> </w:t>
      </w:r>
      <w:r>
        <w:rPr>
          <w:rFonts w:ascii="Times New Roman" w:hAnsi="Times New Roman"/>
          <w:sz w:val="24"/>
          <w:szCs w:val="24"/>
        </w:rPr>
        <w:t xml:space="preserve">= coefficiente criterio di valutazione X per il concorrente </w:t>
      </w:r>
      <w:r>
        <w:rPr>
          <w:rFonts w:ascii="Times New Roman" w:hAnsi="Times New Roman"/>
          <w:i/>
          <w:sz w:val="24"/>
          <w:szCs w:val="24"/>
        </w:rPr>
        <w:t>i-esimo</w:t>
      </w:r>
    </w:p>
    <w:p>
      <w:pPr>
        <w:pStyle w:val="Normal"/>
        <w:rPr>
          <w:rFonts w:ascii="Times New Roman" w:hAnsi="Times New Roman"/>
          <w:sz w:val="24"/>
          <w:szCs w:val="24"/>
        </w:rPr>
      </w:pPr>
      <w:r>
        <w:rPr/>
      </w:r>
      <m:oMath xmlns:m="http://schemas.openxmlformats.org/officeDocument/2006/math">
        <m:sSub>
          <m:e>
            <m:r>
              <w:rPr>
                <w:rFonts w:ascii="Cambria Math" w:hAnsi="Cambria Math"/>
              </w:rPr>
              <m:t xml:space="preserve">P</m:t>
            </m:r>
          </m:e>
          <m:sub>
            <m:r>
              <w:rPr>
                <w:rFonts w:ascii="Cambria Math" w:hAnsi="Cambria Math"/>
              </w:rPr>
              <m:t xml:space="preserve">x</m:t>
            </m:r>
          </m:sub>
        </m:sSub>
        <m:r>
          <w:rPr>
            <w:rFonts w:ascii="Cambria Math" w:hAnsi="Cambria Math"/>
          </w:rPr>
          <m:t xml:space="preserve">=</m:t>
        </m:r>
      </m:oMath>
      <w:r>
        <w:rPr>
          <w:rFonts w:ascii="Times New Roman" w:hAnsi="Times New Roman"/>
          <w:sz w:val="24"/>
          <w:szCs w:val="24"/>
        </w:rPr>
        <w:t xml:space="preserve"> </w:t>
      </w:r>
      <w:r>
        <w:rPr>
          <w:rFonts w:ascii="Times New Roman" w:hAnsi="Times New Roman"/>
          <w:sz w:val="24"/>
          <w:szCs w:val="24"/>
        </w:rPr>
        <w:t>punteggio criterio X</w:t>
      </w:r>
    </w:p>
    <w:p>
      <w:pPr>
        <w:pStyle w:val="Normal"/>
        <w:rPr>
          <w:rFonts w:ascii="Times New Roman" w:hAnsi="Times New Roman"/>
          <w:sz w:val="24"/>
          <w:szCs w:val="24"/>
        </w:rPr>
      </w:pPr>
      <w:r>
        <w:rPr>
          <w:rFonts w:ascii="Times New Roman" w:hAnsi="Times New Roman"/>
          <w:sz w:val="24"/>
          <w:szCs w:val="24"/>
        </w:rPr>
        <w:t>X = 0,85 n [</w:t>
      </w:r>
      <w:r>
        <w:rPr>
          <w:rFonts w:ascii="Times New Roman" w:hAnsi="Times New Roman"/>
          <w:i/>
          <w:sz w:val="24"/>
          <w:szCs w:val="24"/>
        </w:rPr>
        <w:t>indicare il valore di n, ovvero il numero di criteri di valutazione</w:t>
      </w:r>
      <w:r>
        <w:rPr>
          <w:rFonts w:ascii="Times New Roman" w:hAnsi="Times New Roman"/>
          <w:sz w:val="24"/>
          <w:szCs w:val="24"/>
        </w:rPr>
        <w:t>]</w:t>
      </w:r>
    </w:p>
    <w:p>
      <w:pPr>
        <w:pStyle w:val="Heading1"/>
        <w:widowControl w:val="false"/>
        <w:numPr>
          <w:ilvl w:val="0"/>
          <w:numId w:val="0"/>
        </w:numPr>
        <w:suppressAutoHyphens w:val="true"/>
        <w:bidi w:val="0"/>
        <w:spacing w:before="0" w:after="0"/>
        <w:ind w:left="0" w:right="283" w:hanging="0"/>
        <w:jc w:val="both"/>
        <w:rPr>
          <w:rFonts w:ascii="Times New Roman" w:hAnsi="Times New Roman"/>
          <w:sz w:val="24"/>
          <w:szCs w:val="24"/>
        </w:rPr>
      </w:pPr>
      <w:r>
        <w:rPr>
          <w:rFonts w:cs="Times New Roman" w:ascii="Times New Roman" w:hAnsi="Times New Roman"/>
          <w:b w:val="false"/>
          <w:bCs w:val="false"/>
          <w:sz w:val="24"/>
          <w:szCs w:val="24"/>
        </w:rPr>
        <w:t>In caso di presentazione di una sola offerta valida il Consorzio si riserva la facoltà di procedere o</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meno</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all’aggiudicazione.</w:t>
      </w:r>
    </w:p>
    <w:p>
      <w:pPr>
        <w:pStyle w:val="Heading1"/>
        <w:jc w:val="both"/>
        <w:rPr>
          <w:rFonts w:ascii="Times New Roman" w:hAnsi="Times New Roman" w:cs="Times New Roman"/>
          <w:b w:val="false"/>
          <w:b w:val="false"/>
          <w:bCs w:val="false"/>
          <w:kern w:val="0"/>
          <w:sz w:val="24"/>
          <w:szCs w:val="24"/>
          <w:lang w:val="it-IT"/>
        </w:rPr>
      </w:pPr>
      <w:r>
        <w:rPr>
          <w:rFonts w:cs="Times New Roman" w:ascii="Times New Roman" w:hAnsi="Times New Roman"/>
          <w:b w:val="false"/>
          <w:bCs w:val="false"/>
          <w:kern w:val="0"/>
          <w:sz w:val="24"/>
          <w:szCs w:val="24"/>
          <w:lang w:val="it-IT"/>
        </w:rPr>
      </w:r>
    </w:p>
    <w:p>
      <w:pPr>
        <w:pStyle w:val="Heading1"/>
        <w:widowControl w:val="false"/>
        <w:suppressAutoHyphens w:val="true"/>
        <w:bidi w:val="0"/>
        <w:spacing w:before="0" w:after="0"/>
        <w:ind w:left="283" w:right="283" w:hanging="0"/>
        <w:jc w:val="both"/>
        <w:rPr>
          <w:rFonts w:ascii="Times New Roman" w:hAnsi="Times New Roman"/>
          <w:sz w:val="24"/>
          <w:szCs w:val="24"/>
        </w:rPr>
      </w:pPr>
      <w:r>
        <w:rPr>
          <w:rFonts w:cs="Times New Roman" w:ascii="Times New Roman" w:hAnsi="Times New Roman"/>
          <w:b w:val="false"/>
          <w:bCs w:val="false"/>
          <w:sz w:val="24"/>
          <w:szCs w:val="24"/>
        </w:rPr>
        <w:t>La Stazione Appaltante si riserva di non procedere all'aggiudicazione se nessuna offerta risulti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conveniente</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o idonea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in</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relazione</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all'oggetto</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del</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contratto.</w:t>
      </w:r>
    </w:p>
    <w:p>
      <w:pPr>
        <w:pStyle w:val="Heading1"/>
        <w:jc w:val="both"/>
        <w:rPr>
          <w:rFonts w:ascii="Times New Roman" w:hAnsi="Times New Roman"/>
          <w:sz w:val="24"/>
          <w:szCs w:val="24"/>
        </w:rPr>
      </w:pPr>
      <w:r>
        <w:rPr>
          <w:rFonts w:ascii="Times New Roman" w:hAnsi="Times New Roman"/>
          <w:sz w:val="24"/>
          <w:szCs w:val="24"/>
        </w:rPr>
      </w:r>
    </w:p>
    <w:p>
      <w:pPr>
        <w:pStyle w:val="Heading1"/>
        <w:widowControl w:val="false"/>
        <w:suppressAutoHyphens w:val="true"/>
        <w:bidi w:val="0"/>
        <w:spacing w:before="0" w:after="0"/>
        <w:ind w:left="283" w:right="0" w:firstLine="57"/>
        <w:jc w:val="both"/>
        <w:rPr>
          <w:rFonts w:ascii="Times New Roman" w:hAnsi="Times New Roman"/>
          <w:sz w:val="24"/>
          <w:szCs w:val="24"/>
        </w:rPr>
      </w:pPr>
      <w:r>
        <w:rPr>
          <w:rFonts w:cs="Times New Roman" w:ascii="Times New Roman" w:hAnsi="Times New Roman"/>
          <w:b w:val="false"/>
          <w:bCs w:val="false"/>
          <w:spacing w:val="-1"/>
          <w:sz w:val="24"/>
          <w:szCs w:val="24"/>
        </w:rPr>
        <w:t>La</w:t>
      </w:r>
      <w:r>
        <w:rPr>
          <w:rFonts w:cs="Times New Roman" w:ascii="Times New Roman" w:hAnsi="Times New Roman"/>
          <w:b w:val="false"/>
          <w:bCs w:val="false"/>
          <w:spacing w:val="-11"/>
          <w:sz w:val="24"/>
          <w:szCs w:val="24"/>
        </w:rPr>
        <w:t xml:space="preserve"> </w:t>
      </w:r>
      <w:r>
        <w:rPr>
          <w:rFonts w:cs="Times New Roman" w:ascii="Times New Roman" w:hAnsi="Times New Roman"/>
          <w:b w:val="false"/>
          <w:bCs w:val="false"/>
          <w:spacing w:val="-1"/>
          <w:sz w:val="24"/>
          <w:szCs w:val="24"/>
        </w:rPr>
        <w:t>Stazione</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pacing w:val="-1"/>
          <w:sz w:val="24"/>
          <w:szCs w:val="24"/>
        </w:rPr>
        <w:t>Appaltante</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pacing w:val="-1"/>
          <w:sz w:val="24"/>
          <w:szCs w:val="24"/>
        </w:rPr>
        <w:t>si</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pacing w:val="-1"/>
          <w:sz w:val="24"/>
          <w:szCs w:val="24"/>
        </w:rPr>
        <w:t>riserva</w:t>
      </w:r>
      <w:r>
        <w:rPr>
          <w:rFonts w:cs="Times New Roman" w:ascii="Times New Roman" w:hAnsi="Times New Roman"/>
          <w:b w:val="false"/>
          <w:bCs w:val="false"/>
          <w:spacing w:val="-11"/>
          <w:sz w:val="24"/>
          <w:szCs w:val="24"/>
        </w:rPr>
        <w:t xml:space="preserve"> </w:t>
      </w:r>
      <w:r>
        <w:rPr>
          <w:rFonts w:cs="Times New Roman" w:ascii="Times New Roman" w:hAnsi="Times New Roman"/>
          <w:b w:val="false"/>
          <w:bCs w:val="false"/>
          <w:spacing w:val="-1"/>
          <w:sz w:val="24"/>
          <w:szCs w:val="24"/>
        </w:rPr>
        <w:t>la</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pacing w:val="-1"/>
          <w:sz w:val="24"/>
          <w:szCs w:val="24"/>
        </w:rPr>
        <w:t>facoltà</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11"/>
          <w:sz w:val="24"/>
          <w:szCs w:val="24"/>
        </w:rPr>
        <w:t xml:space="preserve"> </w:t>
      </w:r>
      <w:r>
        <w:rPr>
          <w:rFonts w:cs="Times New Roman" w:ascii="Times New Roman" w:hAnsi="Times New Roman"/>
          <w:b w:val="false"/>
          <w:bCs w:val="false"/>
          <w:sz w:val="24"/>
          <w:szCs w:val="24"/>
        </w:rPr>
        <w:t>annullare</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z w:val="24"/>
          <w:szCs w:val="24"/>
        </w:rPr>
        <w:t>e/o</w:t>
      </w:r>
      <w:r>
        <w:rPr>
          <w:rFonts w:cs="Times New Roman" w:ascii="Times New Roman" w:hAnsi="Times New Roman"/>
          <w:b w:val="false"/>
          <w:bCs w:val="false"/>
          <w:spacing w:val="-13"/>
          <w:sz w:val="24"/>
          <w:szCs w:val="24"/>
        </w:rPr>
        <w:t xml:space="preserve"> </w:t>
      </w:r>
      <w:r>
        <w:rPr>
          <w:rFonts w:cs="Times New Roman" w:ascii="Times New Roman" w:hAnsi="Times New Roman"/>
          <w:b w:val="false"/>
          <w:bCs w:val="false"/>
          <w:sz w:val="24"/>
          <w:szCs w:val="24"/>
        </w:rPr>
        <w:t>revocare</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z w:val="24"/>
          <w:szCs w:val="24"/>
        </w:rPr>
        <w:t>il</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z w:val="24"/>
          <w:szCs w:val="24"/>
        </w:rPr>
        <w:t>bando</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gara/lettera</w:t>
      </w:r>
      <w:r>
        <w:rPr>
          <w:rFonts w:cs="Times New Roman" w:ascii="Times New Roman" w:hAnsi="Times New Roman"/>
          <w:b w:val="false"/>
          <w:bCs w:val="false"/>
          <w:spacing w:val="-13"/>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invito,</w:t>
      </w:r>
      <w:r>
        <w:rPr>
          <w:rFonts w:cs="Times New Roman" w:ascii="Times New Roman" w:hAnsi="Times New Roman"/>
          <w:b w:val="false"/>
          <w:bCs w:val="false"/>
          <w:spacing w:val="-52"/>
          <w:sz w:val="24"/>
          <w:szCs w:val="24"/>
        </w:rPr>
        <w:t xml:space="preserve"> </w:t>
      </w:r>
      <w:r>
        <w:rPr>
          <w:rFonts w:cs="Times New Roman" w:ascii="Times New Roman" w:hAnsi="Times New Roman"/>
          <w:b w:val="false"/>
          <w:bCs w:val="false"/>
          <w:spacing w:val="-1"/>
          <w:sz w:val="24"/>
          <w:szCs w:val="24"/>
        </w:rPr>
        <w:t>non</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pacing w:val="-1"/>
          <w:sz w:val="24"/>
          <w:szCs w:val="24"/>
        </w:rPr>
        <w:t>aggiudicare</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pacing w:val="-1"/>
          <w:sz w:val="24"/>
          <w:szCs w:val="24"/>
        </w:rPr>
        <w:t>e/o</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pacing w:val="-1"/>
          <w:sz w:val="24"/>
          <w:szCs w:val="24"/>
        </w:rPr>
        <w:t>non</w:t>
      </w:r>
      <w:r>
        <w:rPr>
          <w:rFonts w:cs="Times New Roman" w:ascii="Times New Roman" w:hAnsi="Times New Roman"/>
          <w:b w:val="false"/>
          <w:bCs w:val="false"/>
          <w:spacing w:val="-11"/>
          <w:sz w:val="24"/>
          <w:szCs w:val="24"/>
        </w:rPr>
        <w:t xml:space="preserve"> </w:t>
      </w:r>
      <w:r>
        <w:rPr>
          <w:rFonts w:cs="Times New Roman" w:ascii="Times New Roman" w:hAnsi="Times New Roman"/>
          <w:b w:val="false"/>
          <w:bCs w:val="false"/>
          <w:spacing w:val="-1"/>
          <w:sz w:val="24"/>
          <w:szCs w:val="24"/>
        </w:rPr>
        <w:t>stipulare</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pacing w:val="-1"/>
          <w:sz w:val="24"/>
          <w:szCs w:val="24"/>
        </w:rPr>
        <w:t>il</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pacing w:val="-1"/>
          <w:sz w:val="24"/>
          <w:szCs w:val="24"/>
        </w:rPr>
        <w:t>contratto</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pacing w:val="-1"/>
          <w:sz w:val="24"/>
          <w:szCs w:val="24"/>
        </w:rPr>
        <w:t>senza</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pacing w:val="-1"/>
          <w:sz w:val="24"/>
          <w:szCs w:val="24"/>
        </w:rPr>
        <w:t>incorrere</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z w:val="24"/>
          <w:szCs w:val="24"/>
        </w:rPr>
        <w:t>in</w:t>
      </w:r>
      <w:r>
        <w:rPr>
          <w:rFonts w:cs="Times New Roman" w:ascii="Times New Roman" w:hAnsi="Times New Roman"/>
          <w:b w:val="false"/>
          <w:bCs w:val="false"/>
          <w:spacing w:val="-9"/>
          <w:sz w:val="24"/>
          <w:szCs w:val="24"/>
        </w:rPr>
        <w:t xml:space="preserve"> </w:t>
      </w:r>
      <w:r>
        <w:rPr>
          <w:rFonts w:cs="Times New Roman" w:ascii="Times New Roman" w:hAnsi="Times New Roman"/>
          <w:b w:val="false"/>
          <w:bCs w:val="false"/>
          <w:sz w:val="24"/>
          <w:szCs w:val="24"/>
        </w:rPr>
        <w:t>responsabilità</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e/o</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azioni</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richiesta</w:t>
      </w:r>
      <w:r>
        <w:rPr>
          <w:rFonts w:cs="Times New Roman" w:ascii="Times New Roman" w:hAnsi="Times New Roman"/>
          <w:b w:val="false"/>
          <w:bCs w:val="false"/>
          <w:spacing w:val="-52"/>
          <w:sz w:val="24"/>
          <w:szCs w:val="24"/>
        </w:rPr>
        <w:t xml:space="preserve"> </w:t>
      </w:r>
      <w:r>
        <w:rPr>
          <w:rFonts w:cs="Times New Roman" w:ascii="Times New Roman" w:hAnsi="Times New Roman"/>
          <w:b w:val="false"/>
          <w:bCs w:val="false"/>
          <w:sz w:val="24"/>
          <w:szCs w:val="24"/>
        </w:rPr>
        <w:t>danni,</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indennità</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o</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compensi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qualsiasi</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tipo anche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ai</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sensi</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dell’art.</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1337</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1338</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del c.c.</w:t>
      </w:r>
    </w:p>
    <w:p>
      <w:pPr>
        <w:pStyle w:val="Heading1"/>
        <w:jc w:val="both"/>
        <w:rPr>
          <w:rFonts w:ascii="Times New Roman" w:hAnsi="Times New Roman"/>
          <w:sz w:val="24"/>
          <w:szCs w:val="24"/>
        </w:rPr>
      </w:pPr>
      <w:r>
        <w:rPr>
          <w:rFonts w:ascii="Times New Roman" w:hAnsi="Times New Roman"/>
          <w:sz w:val="24"/>
          <w:szCs w:val="24"/>
        </w:rPr>
      </w:r>
    </w:p>
    <w:p>
      <w:pPr>
        <w:pStyle w:val="Heading1"/>
        <w:widowControl w:val="false"/>
        <w:suppressAutoHyphens w:val="true"/>
        <w:bidi w:val="0"/>
        <w:spacing w:before="0" w:after="0"/>
        <w:ind w:left="0" w:right="0" w:firstLine="57"/>
        <w:jc w:val="both"/>
        <w:rPr>
          <w:rFonts w:ascii="Times New Roman" w:hAnsi="Times New Roman"/>
          <w:sz w:val="24"/>
          <w:szCs w:val="24"/>
        </w:rPr>
      </w:pPr>
      <w:r>
        <w:rPr>
          <w:rFonts w:cs="Times New Roman" w:ascii="Times New Roman" w:hAnsi="Times New Roman"/>
          <w:b w:val="false"/>
          <w:bCs w:val="false"/>
          <w:spacing w:val="-1"/>
          <w:sz w:val="24"/>
          <w:szCs w:val="24"/>
        </w:rPr>
        <w:t>Risulterà</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pacing w:val="-1"/>
          <w:sz w:val="24"/>
          <w:szCs w:val="24"/>
        </w:rPr>
        <w:t>aggiudicatario</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pacing w:val="-1"/>
          <w:sz w:val="24"/>
          <w:szCs w:val="24"/>
        </w:rPr>
        <w:t>del</w:t>
      </w:r>
      <w:r>
        <w:rPr>
          <w:rFonts w:cs="Times New Roman" w:ascii="Times New Roman" w:hAnsi="Times New Roman"/>
          <w:b w:val="false"/>
          <w:bCs w:val="false"/>
          <w:spacing w:val="-11"/>
          <w:sz w:val="24"/>
          <w:szCs w:val="24"/>
        </w:rPr>
        <w:t xml:space="preserve"> </w:t>
      </w:r>
      <w:r>
        <w:rPr>
          <w:rFonts w:cs="Times New Roman" w:ascii="Times New Roman" w:hAnsi="Times New Roman"/>
          <w:b w:val="false"/>
          <w:bCs w:val="false"/>
          <w:sz w:val="24"/>
          <w:szCs w:val="24"/>
        </w:rPr>
        <w:t>servizio</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z w:val="24"/>
          <w:szCs w:val="24"/>
        </w:rPr>
        <w:t>il</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z w:val="24"/>
          <w:szCs w:val="24"/>
        </w:rPr>
        <w:t>soggetto</w:t>
      </w:r>
      <w:r>
        <w:rPr>
          <w:rFonts w:cs="Times New Roman" w:ascii="Times New Roman" w:hAnsi="Times New Roman"/>
          <w:b w:val="false"/>
          <w:bCs w:val="false"/>
          <w:spacing w:val="-11"/>
          <w:sz w:val="24"/>
          <w:szCs w:val="24"/>
        </w:rPr>
        <w:t xml:space="preserve"> </w:t>
      </w:r>
      <w:r>
        <w:rPr>
          <w:rFonts w:cs="Times New Roman" w:ascii="Times New Roman" w:hAnsi="Times New Roman"/>
          <w:b w:val="false"/>
          <w:bCs w:val="false"/>
          <w:sz w:val="24"/>
          <w:szCs w:val="24"/>
        </w:rPr>
        <w:t>che</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z w:val="24"/>
          <w:szCs w:val="24"/>
        </w:rPr>
        <w:t>avrà</w:t>
      </w:r>
      <w:r>
        <w:rPr>
          <w:rFonts w:cs="Times New Roman" w:ascii="Times New Roman" w:hAnsi="Times New Roman"/>
          <w:b w:val="false"/>
          <w:bCs w:val="false"/>
          <w:spacing w:val="-12"/>
          <w:sz w:val="24"/>
          <w:szCs w:val="24"/>
        </w:rPr>
        <w:t xml:space="preserve"> </w:t>
      </w:r>
      <w:r>
        <w:rPr>
          <w:rFonts w:cs="Times New Roman" w:ascii="Times New Roman" w:hAnsi="Times New Roman"/>
          <w:b w:val="false"/>
          <w:bCs w:val="false"/>
          <w:sz w:val="24"/>
          <w:szCs w:val="24"/>
        </w:rPr>
        <w:t>totalizzato</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il</w:t>
      </w:r>
      <w:r>
        <w:rPr>
          <w:rFonts w:cs="Times New Roman" w:ascii="Times New Roman" w:hAnsi="Times New Roman"/>
          <w:b w:val="false"/>
          <w:bCs w:val="false"/>
          <w:spacing w:val="-14"/>
          <w:sz w:val="24"/>
          <w:szCs w:val="24"/>
        </w:rPr>
        <w:t xml:space="preserve"> </w:t>
      </w:r>
      <w:r>
        <w:rPr>
          <w:rFonts w:cs="Times New Roman" w:ascii="Times New Roman" w:hAnsi="Times New Roman"/>
          <w:b w:val="false"/>
          <w:bCs w:val="false"/>
          <w:sz w:val="24"/>
          <w:szCs w:val="24"/>
        </w:rPr>
        <w:t>maggior</w:t>
      </w:r>
      <w:r>
        <w:rPr>
          <w:rFonts w:cs="Times New Roman" w:ascii="Times New Roman" w:hAnsi="Times New Roman"/>
          <w:b w:val="false"/>
          <w:bCs w:val="false"/>
          <w:spacing w:val="-10"/>
          <w:sz w:val="24"/>
          <w:szCs w:val="24"/>
        </w:rPr>
        <w:t xml:space="preserve"> </w:t>
      </w:r>
      <w:r>
        <w:rPr>
          <w:rFonts w:cs="Times New Roman" w:ascii="Times New Roman" w:hAnsi="Times New Roman"/>
          <w:b w:val="false"/>
          <w:bCs w:val="false"/>
          <w:sz w:val="24"/>
          <w:szCs w:val="24"/>
        </w:rPr>
        <w:t>punteggio</w:t>
      </w:r>
      <w:r>
        <w:rPr>
          <w:rFonts w:cs="Times New Roman" w:ascii="Times New Roman" w:hAnsi="Times New Roman"/>
          <w:b w:val="false"/>
          <w:bCs w:val="false"/>
          <w:spacing w:val="-13"/>
          <w:sz w:val="24"/>
          <w:szCs w:val="24"/>
        </w:rPr>
        <w:t xml:space="preserve"> </w:t>
      </w:r>
      <w:r>
        <w:rPr>
          <w:rFonts w:cs="Times New Roman" w:ascii="Times New Roman" w:hAnsi="Times New Roman"/>
          <w:b w:val="false"/>
          <w:bCs w:val="false"/>
          <w:sz w:val="24"/>
          <w:szCs w:val="24"/>
        </w:rPr>
        <w:t>complessivo</w:t>
      </w:r>
      <w:r>
        <w:rPr>
          <w:rFonts w:cs="Times New Roman" w:ascii="Times New Roman" w:hAnsi="Times New Roman"/>
          <w:b w:val="false"/>
          <w:bCs w:val="false"/>
          <w:spacing w:val="-52"/>
          <w:sz w:val="24"/>
          <w:szCs w:val="24"/>
        </w:rPr>
        <w:t xml:space="preserve"> </w:t>
      </w:r>
      <w:r>
        <w:rPr>
          <w:rFonts w:cs="Times New Roman" w:ascii="Times New Roman" w:hAnsi="Times New Roman"/>
          <w:b w:val="false"/>
          <w:bCs w:val="false"/>
          <w:sz w:val="24"/>
          <w:szCs w:val="24"/>
        </w:rPr>
        <w:t>risultante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dalla somma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dei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punteggi</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parziali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relativa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a</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ciascun elemento</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giudizio.</w:t>
      </w:r>
    </w:p>
    <w:p>
      <w:pPr>
        <w:pStyle w:val="Heading1"/>
        <w:jc w:val="both"/>
        <w:rPr>
          <w:rFonts w:ascii="Times New Roman" w:hAnsi="Times New Roman"/>
          <w:sz w:val="24"/>
          <w:szCs w:val="24"/>
        </w:rPr>
      </w:pPr>
      <w:r>
        <w:rPr>
          <w:rFonts w:ascii="Times New Roman" w:hAnsi="Times New Roman"/>
          <w:sz w:val="24"/>
          <w:szCs w:val="24"/>
        </w:rPr>
      </w:r>
    </w:p>
    <w:p>
      <w:pPr>
        <w:pStyle w:val="Heading1"/>
        <w:widowControl w:val="false"/>
        <w:suppressAutoHyphens w:val="true"/>
        <w:bidi w:val="0"/>
        <w:spacing w:before="0" w:after="0"/>
        <w:ind w:left="0" w:right="0" w:hanging="0"/>
        <w:jc w:val="both"/>
        <w:rPr>
          <w:rFonts w:ascii="Times New Roman" w:hAnsi="Times New Roman"/>
          <w:sz w:val="24"/>
          <w:szCs w:val="24"/>
        </w:rPr>
      </w:pPr>
      <w:r>
        <w:rPr>
          <w:rFonts w:cs="Times New Roman" w:ascii="Times New Roman" w:hAnsi="Times New Roman"/>
          <w:b w:val="false"/>
          <w:bCs w:val="false"/>
          <w:sz w:val="24"/>
          <w:szCs w:val="24"/>
        </w:rPr>
        <w:t>In</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caso</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di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offerte</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identiche si</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procederà</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norma</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dell'art.</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77</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comma</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2</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R.D.</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23/05/1924</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n.</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827.</w:t>
      </w:r>
    </w:p>
    <w:p>
      <w:pPr>
        <w:pStyle w:val="Heading1"/>
        <w:jc w:val="both"/>
        <w:rPr>
          <w:rFonts w:ascii="Times New Roman" w:hAnsi="Times New Roman"/>
          <w:sz w:val="24"/>
          <w:szCs w:val="24"/>
        </w:rPr>
      </w:pPr>
      <w:r>
        <w:rPr>
          <w:rFonts w:ascii="Times New Roman" w:hAnsi="Times New Roman"/>
          <w:sz w:val="24"/>
          <w:szCs w:val="24"/>
        </w:rPr>
      </w:r>
    </w:p>
    <w:p>
      <w:pPr>
        <w:pStyle w:val="Heading1"/>
        <w:widowControl w:val="false"/>
        <w:suppressAutoHyphens w:val="true"/>
        <w:bidi w:val="0"/>
        <w:spacing w:before="0" w:after="0"/>
        <w:ind w:left="0" w:right="0" w:hanging="0"/>
        <w:jc w:val="both"/>
        <w:rPr>
          <w:rFonts w:ascii="Times New Roman" w:hAnsi="Times New Roman"/>
          <w:sz w:val="24"/>
          <w:szCs w:val="24"/>
        </w:rPr>
      </w:pPr>
      <w:r>
        <w:rPr>
          <w:rFonts w:cs="Times New Roman" w:ascii="Times New Roman" w:hAnsi="Times New Roman"/>
          <w:b w:val="false"/>
          <w:bCs w:val="false"/>
          <w:sz w:val="24"/>
          <w:szCs w:val="24"/>
        </w:rPr>
        <w:t>L’aggiudicazione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vincola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immediatamente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il</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concorrente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aggiudicatario</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della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gara,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mentre</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l’amministrazione sarà impegnata definitivamente soltanto quando, a norma di legge, tutti gli atti</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conseguenti</w:t>
      </w:r>
      <w:r>
        <w:rPr>
          <w:rFonts w:cs="Times New Roman" w:ascii="Times New Roman" w:hAnsi="Times New Roman"/>
          <w:b w:val="false"/>
          <w:bCs w:val="false"/>
          <w:spacing w:val="-5"/>
          <w:sz w:val="24"/>
          <w:szCs w:val="24"/>
        </w:rPr>
        <w:t xml:space="preserve"> </w:t>
      </w:r>
      <w:r>
        <w:rPr>
          <w:rFonts w:cs="Times New Roman" w:ascii="Times New Roman" w:hAnsi="Times New Roman"/>
          <w:b w:val="false"/>
          <w:bCs w:val="false"/>
          <w:sz w:val="24"/>
          <w:szCs w:val="24"/>
        </w:rPr>
        <w:t>e</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necessari</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all’espletamento</w:t>
      </w:r>
      <w:r>
        <w:rPr>
          <w:rFonts w:cs="Times New Roman" w:ascii="Times New Roman" w:hAnsi="Times New Roman"/>
          <w:b w:val="false"/>
          <w:bCs w:val="false"/>
          <w:spacing w:val="-4"/>
          <w:sz w:val="24"/>
          <w:szCs w:val="24"/>
        </w:rPr>
        <w:t xml:space="preserve"> </w:t>
      </w:r>
      <w:r>
        <w:rPr>
          <w:rFonts w:cs="Times New Roman" w:ascii="Times New Roman" w:hAnsi="Times New Roman"/>
          <w:b w:val="false"/>
          <w:bCs w:val="false"/>
          <w:sz w:val="24"/>
          <w:szCs w:val="24"/>
        </w:rPr>
        <w:t>della</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gara</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avranno</w:t>
      </w:r>
      <w:r>
        <w:rPr>
          <w:rFonts w:cs="Times New Roman" w:ascii="Times New Roman" w:hAnsi="Times New Roman"/>
          <w:b w:val="false"/>
          <w:bCs w:val="false"/>
          <w:spacing w:val="-1"/>
          <w:sz w:val="24"/>
          <w:szCs w:val="24"/>
        </w:rPr>
        <w:t xml:space="preserve"> </w:t>
      </w:r>
      <w:r>
        <w:rPr>
          <w:rFonts w:cs="Times New Roman" w:ascii="Times New Roman" w:hAnsi="Times New Roman"/>
          <w:b w:val="false"/>
          <w:bCs w:val="false"/>
          <w:sz w:val="24"/>
          <w:szCs w:val="24"/>
        </w:rPr>
        <w:t>conseguito</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piena</w:t>
      </w:r>
      <w:r>
        <w:rPr>
          <w:rFonts w:cs="Times New Roman" w:ascii="Times New Roman" w:hAnsi="Times New Roman"/>
          <w:b w:val="false"/>
          <w:bCs w:val="false"/>
          <w:spacing w:val="-2"/>
          <w:sz w:val="24"/>
          <w:szCs w:val="24"/>
        </w:rPr>
        <w:t xml:space="preserve"> </w:t>
      </w:r>
      <w:r>
        <w:rPr>
          <w:rFonts w:cs="Times New Roman" w:ascii="Times New Roman" w:hAnsi="Times New Roman"/>
          <w:b w:val="false"/>
          <w:bCs w:val="false"/>
          <w:sz w:val="24"/>
          <w:szCs w:val="24"/>
        </w:rPr>
        <w:t>efficacia</w:t>
      </w:r>
      <w:r>
        <w:rPr>
          <w:rFonts w:cs="Times New Roman" w:ascii="Times New Roman" w:hAnsi="Times New Roman"/>
          <w:b w:val="false"/>
          <w:bCs w:val="false"/>
          <w:spacing w:val="-3"/>
          <w:sz w:val="24"/>
          <w:szCs w:val="24"/>
        </w:rPr>
        <w:t xml:space="preserve"> </w:t>
      </w:r>
      <w:r>
        <w:rPr>
          <w:rFonts w:cs="Times New Roman" w:ascii="Times New Roman" w:hAnsi="Times New Roman"/>
          <w:b w:val="false"/>
          <w:bCs w:val="false"/>
          <w:sz w:val="24"/>
          <w:szCs w:val="24"/>
        </w:rPr>
        <w:t>giuridica.</w:t>
      </w:r>
    </w:p>
    <w:p>
      <w:pPr>
        <w:pStyle w:val="TextBody"/>
        <w:tabs>
          <w:tab w:val="clear" w:pos="720"/>
          <w:tab w:val="left" w:pos="284" w:leader="none"/>
        </w:tabs>
        <w:ind w:left="284" w:right="694" w:hanging="0"/>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bidi w:val="0"/>
        <w:spacing w:before="60" w:after="60"/>
        <w:ind w:right="0" w:hanging="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25. VERIFICA DI ANOMALIA DELLE OFFERTE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La stazione appaltante si riserva la facoltà di sottoporre a verifica un’offerta che, in base anche ad</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alcuni elementi, ivi inclusi i costi della manodopera, appaia anormalmente bassa.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Nel caso in cui la prima migliore offerta appaia anormalmente bassa, il RUP avvalendosi della      Commissione giudicatrice ne valuta la congruità, serietà, sostenibilità e realizzabilità.</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Qualora tale offerta risulti anomala, si procede con le stesse modalità nei confronti delle successive offerte  ritenute anormalmente basse, fino ad individuare la migliore offerta ritenuta non anomala.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RUP richiede al concorrente la presentazione delle spiegazioni, se del caso, indicando le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componenti specifiche dell’offerta ritenute anomale.</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A tal fine, assegna un termine non superiore a quindici giorni dal ricevimento della richiesta.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RUP, esaminate le spiegazioni fornite dall’offerente, ove le ritenga non sufficienti ad escludere l’anomalia, può chiedere, anche mediante audizione orale, ulteriori chiarimenti, assegnando un termine perentorio per il riscontro.</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RUP esclude le offerte che, in base all’esame degli elementi forniti con le spiegazioni risultino, nel</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complesso, inaffidabili.</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ART. 20 - AGGIUDICAZIONE DELL’APPALTO E STIPULA DEL CONTRATTO</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La proposta di aggiudicazione è formulata in favore del concorrente che ha presentato la migliore offerta.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L’aggiudicazione è disposta all’esito positivo della verifica del possesso dei requisiti prescritti dal presente disciplinare ed è immediatamente efficace. In caso di esito negativo delle verifiche, si procede all’esclusione, alla segnalazione all’ANAC.</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Successivamente si procede a ricalcolare i punteggi e a riformulare la graduatoria procedendo altresì, alle verifiche nei termini sopra indicati. Nell’ipotesi di ulteriore esito negativo delle verifiche si procede nei termini sopra detti, scorrendo la graduatoria.</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All’atto della stipulazione del contratto, l’aggiudicatario deve presentare la garanzia definitiva da calcolare sull’importo contrattuale, secondo le misure e le modalità previste dall’articolo 117 del Codice.</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contratto è stipulato mediante Atto Pubblico, ai sensi dell’articolo 18 del Codice.</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ART. 21 - OBBLIGHI RELATIVI ALLA TRACCIABILITÀ DEI FLUSSI  FINANZIARI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contratto d’appalto è soggetto agli obblighi in tema di tracciabilità dei flussi finanziari di cui alla</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legge 13 agosto 2010, n. 136.</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L’affidatario deve comunicare alla stazione appaltante: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gli estremi identificativi dei conti correnti bancari o postali dedicati, con l'indicazione dell'opera/servizio/fornitura alla quale sono dedicati;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le generalità e il codice fiscale delle persone delegate ad operare sugli stessi;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    • </w:t>
      </w:r>
      <w:r>
        <w:rPr>
          <w:rFonts w:eastAsia="Arial" w:ascii="Times New Roman" w:hAnsi="Times New Roman"/>
          <w:b w:val="false"/>
          <w:bCs w:val="false"/>
          <w:sz w:val="24"/>
          <w:szCs w:val="24"/>
        </w:rPr>
        <w:t>ogni modifica relativa ai dati trasmessi.</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 xml:space="preserve">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L'omessa, tardiva o incompleta comunicazione degli elementi informativi comporta, a carico del soggetto inadempiente, l'applicazione di una sanzione amministrativa pecuniaria da 500 a 3.000 euro.</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mancato adempimento agli obblighi previsti per la tracciabilità dei flussi finanziari relativi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all’appalto comporta la risoluzione di diritto del contratto.</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ART. 22 - CODICE DI COMPORTAMENTO</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Nello svolgimento delle attività oggetto del contratto di appalto, l’aggiudicatario deve uniformarsi ai principi e, per quanto compatibili, ai doveri di condotta richiamati nel Decreto del Presidente della Repubblica 16 aprile 2013 n. 62 (aggiornato con DPR 81/2023) e nel codice di comportamento di questa stazione appaltante e nel Piano Triennale di Prevenzione della Corruzione e della Trasparenza, nonché nella sottosezione Rischi corruttivi e trasparenza del PIAO.</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In seguito alla comunicazione di aggiudicazione e prima della stipula del contratto, l’aggiudicatario ha l’onere di prendere visione dei predetti documenti pubblicati sul sito della stazione appaltante.</w:t>
      </w:r>
    </w:p>
    <w:p>
      <w:pPr>
        <w:pStyle w:val="Normal"/>
        <w:widowControl w:val="false"/>
        <w:suppressAutoHyphens w:val="true"/>
        <w:bidi w:val="0"/>
        <w:spacing w:before="60" w:after="60"/>
        <w:ind w:left="283" w:right="0" w:hanging="0"/>
        <w:jc w:val="both"/>
        <w:rPr>
          <w:rFonts w:ascii="Times New Roman" w:hAnsi="Times New Roman"/>
          <w:b/>
          <w:b/>
          <w:bCs/>
          <w:sz w:val="24"/>
          <w:szCs w:val="24"/>
        </w:rPr>
      </w:pPr>
      <w:r>
        <w:rPr>
          <w:rFonts w:ascii="Times New Roman" w:hAnsi="Times New Roman"/>
          <w:b/>
          <w:bCs/>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ART. 23 - RESPONSABILE UNICO DEL PROGETTO (RUP)</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Ai fini della presente gara ed ai sensi dell’art. 15 del D. Lgs. n. 36/2023 il Responsabile Unico del             Progetto (RUP) è la Responsabile di area territoriale dott.ssa Katia Gastaldi</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ART. 24- DEFINIZIONE DELLE CONTROVERSIE</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Per le controversie derivanti dal contratto e competente il Foro di Torino, rimanendo espressamente esclusa la compromissione in arbitri.</w:t>
      </w:r>
    </w:p>
    <w:p>
      <w:pPr>
        <w:pStyle w:val="Normal"/>
        <w:widowControl w:val="false"/>
        <w:suppressAutoHyphens w:val="true"/>
        <w:bidi w:val="0"/>
        <w:spacing w:before="60" w:after="60"/>
        <w:ind w:left="283" w:righ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suppressAutoHyphens w:val="true"/>
        <w:bidi w:val="0"/>
        <w:spacing w:before="60" w:after="60"/>
        <w:ind w:left="283" w:right="0" w:hanging="0"/>
        <w:jc w:val="both"/>
        <w:rPr>
          <w:b/>
          <w:b/>
          <w:bCs/>
        </w:rPr>
      </w:pPr>
      <w:r>
        <w:rPr>
          <w:rFonts w:eastAsia="Arial" w:ascii="Times New Roman" w:hAnsi="Times New Roman"/>
          <w:b/>
          <w:bCs/>
          <w:sz w:val="24"/>
          <w:szCs w:val="24"/>
        </w:rPr>
        <w:t>ART. 25 - TRATTAMENTO DEI DATI PERSONALI</w:t>
      </w:r>
    </w:p>
    <w:p>
      <w:pPr>
        <w:pStyle w:val="Normal"/>
        <w:widowControl w:val="false"/>
        <w:suppressAutoHyphens w:val="true"/>
        <w:bidi w:val="0"/>
        <w:spacing w:before="60" w:after="60"/>
        <w:ind w:left="283" w:right="0" w:hanging="0"/>
        <w:jc w:val="both"/>
        <w:rPr>
          <w:rFonts w:ascii="Times New Roman" w:hAnsi="Times New Roman"/>
          <w:sz w:val="24"/>
          <w:szCs w:val="24"/>
        </w:rPr>
      </w:pPr>
      <w:r>
        <w:rPr>
          <w:rFonts w:eastAsia="Arial" w:ascii="Times New Roman" w:hAnsi="Times New Roman"/>
          <w:b w:val="false"/>
          <w:bCs w:val="false"/>
          <w:sz w:val="24"/>
          <w:szCs w:val="24"/>
        </w:rPr>
        <w:t>I dati raccolti sono trattati e conservati ai sensi del Regolamento UE n. 2016/679 relativo alla protezione delle persone fisiche con riguardo al trattamento dei dati personali, nonché alla libera circolazione di tali dati, del decreto legislativo 30 giugno 2003, n. 196 recante il “Codice in materia di protezione dei dati personali” e ss mm e ii, del decreto della Presidenza del Consiglio dei Ministri n. 148/21 e dei relativi atti di attuazione secondo quanto riportato nell’apposita scheda informativa allegata alla documentazione di gara .</w:t>
      </w:r>
    </w:p>
    <w:sectPr>
      <w:footerReference w:type="default" r:id="rId5"/>
      <w:type w:val="nextPage"/>
      <w:pgSz w:w="11906" w:h="16838"/>
      <w:pgMar w:left="850" w:right="850" w:gutter="0" w:header="0" w:top="850" w:footer="850" w:bottom="907"/>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Unicode MS">
    <w:charset w:val="00"/>
    <w:family w:val="roman"/>
    <w:pitch w:val="variable"/>
  </w:font>
  <w:font w:name="Microsoft Sans Serif">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NewAster">
    <w:altName w:val="Times New Roman"/>
    <w:charset w:val="00"/>
    <w:family w:val="roman"/>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55040580"/>
    </w:sdtPr>
    <w:sdtContent>
      <w:p>
        <w:pPr>
          <w:pStyle w:val="Footer"/>
          <w:jc w:val="right"/>
          <w:rPr/>
        </w:pPr>
        <w:r>
          <w:rPr/>
          <w:fldChar w:fldCharType="begin"/>
        </w:r>
        <w:r>
          <w:rPr/>
          <w:instrText xml:space="preserve"> PAGE </w:instrText>
        </w:r>
        <w:r>
          <w:rPr/>
          <w:fldChar w:fldCharType="separate"/>
        </w:r>
        <w:r>
          <w:rPr/>
          <w:t>25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95" w:hanging="418"/>
      </w:pPr>
      <w:rPr>
        <w:sz w:val="32"/>
        <w:spacing w:val="-1"/>
        <w:b/>
        <w:szCs w:val="32"/>
        <w:bCs/>
        <w:w w:val="98"/>
        <w:rFonts w:ascii="Times New Roman" w:hAnsi="Times New Roman" w:eastAsia="Cambria" w:cs="Times New Roman"/>
        <w:lang w:val="it-IT" w:eastAsia="en-US" w:bidi="ar-SA"/>
      </w:rPr>
    </w:lvl>
    <w:lvl w:ilvl="1">
      <w:start w:val="1"/>
      <w:numFmt w:val="decimal"/>
      <w:lvlText w:val="%1.%2"/>
      <w:lvlJc w:val="left"/>
      <w:pPr>
        <w:tabs>
          <w:tab w:val="num" w:pos="0"/>
        </w:tabs>
        <w:ind w:left="726" w:hanging="336"/>
      </w:pPr>
      <w:rPr>
        <w:sz w:val="22"/>
        <w:spacing w:val="-2"/>
        <w:b/>
        <w:szCs w:val="22"/>
        <w:bCs/>
        <w:w w:val="100"/>
        <w:rFonts w:ascii="Calibri" w:hAnsi="Calibri" w:eastAsia="Calibri" w:cs="Calibri"/>
        <w:lang w:val="it-IT" w:eastAsia="en-US" w:bidi="ar-SA"/>
      </w:rPr>
    </w:lvl>
    <w:lvl w:ilvl="2">
      <w:start w:val="0"/>
      <w:numFmt w:val="bullet"/>
      <w:lvlText w:val=""/>
      <w:lvlJc w:val="left"/>
      <w:pPr>
        <w:tabs>
          <w:tab w:val="num" w:pos="0"/>
        </w:tabs>
        <w:ind w:left="740" w:hanging="336"/>
      </w:pPr>
      <w:rPr>
        <w:rFonts w:ascii="Symbol" w:hAnsi="Symbol" w:cs="Symbol" w:hint="default"/>
        <w:lang w:val="it-IT" w:eastAsia="en-US" w:bidi="ar-SA"/>
      </w:rPr>
    </w:lvl>
    <w:lvl w:ilvl="3">
      <w:start w:val="0"/>
      <w:numFmt w:val="bullet"/>
      <w:lvlText w:val=""/>
      <w:lvlJc w:val="left"/>
      <w:pPr>
        <w:tabs>
          <w:tab w:val="num" w:pos="0"/>
        </w:tabs>
        <w:ind w:left="820" w:hanging="336"/>
      </w:pPr>
      <w:rPr>
        <w:rFonts w:ascii="Symbol" w:hAnsi="Symbol" w:cs="Symbol" w:hint="default"/>
        <w:lang w:val="it-IT" w:eastAsia="en-US" w:bidi="ar-SA"/>
      </w:rPr>
    </w:lvl>
    <w:lvl w:ilvl="4">
      <w:start w:val="0"/>
      <w:numFmt w:val="bullet"/>
      <w:lvlText w:val=""/>
      <w:lvlJc w:val="left"/>
      <w:pPr>
        <w:tabs>
          <w:tab w:val="num" w:pos="0"/>
        </w:tabs>
        <w:ind w:left="840" w:hanging="336"/>
      </w:pPr>
      <w:rPr>
        <w:rFonts w:ascii="Symbol" w:hAnsi="Symbol" w:cs="Symbol" w:hint="default"/>
        <w:lang w:val="it-IT" w:eastAsia="en-US" w:bidi="ar-SA"/>
      </w:rPr>
    </w:lvl>
    <w:lvl w:ilvl="5">
      <w:start w:val="0"/>
      <w:numFmt w:val="bullet"/>
      <w:lvlText w:val=""/>
      <w:lvlJc w:val="left"/>
      <w:pPr>
        <w:tabs>
          <w:tab w:val="num" w:pos="0"/>
        </w:tabs>
        <w:ind w:left="2516" w:hanging="336"/>
      </w:pPr>
      <w:rPr>
        <w:rFonts w:ascii="Symbol" w:hAnsi="Symbol" w:cs="Symbol" w:hint="default"/>
        <w:lang w:val="it-IT" w:eastAsia="en-US" w:bidi="ar-SA"/>
      </w:rPr>
    </w:lvl>
    <w:lvl w:ilvl="6">
      <w:start w:val="0"/>
      <w:numFmt w:val="bullet"/>
      <w:lvlText w:val=""/>
      <w:lvlJc w:val="left"/>
      <w:pPr>
        <w:tabs>
          <w:tab w:val="num" w:pos="0"/>
        </w:tabs>
        <w:ind w:left="4193" w:hanging="336"/>
      </w:pPr>
      <w:rPr>
        <w:rFonts w:ascii="Symbol" w:hAnsi="Symbol" w:cs="Symbol" w:hint="default"/>
        <w:lang w:val="it-IT" w:eastAsia="en-US" w:bidi="ar-SA"/>
      </w:rPr>
    </w:lvl>
    <w:lvl w:ilvl="7">
      <w:start w:val="0"/>
      <w:numFmt w:val="bullet"/>
      <w:lvlText w:val=""/>
      <w:lvlJc w:val="left"/>
      <w:pPr>
        <w:tabs>
          <w:tab w:val="num" w:pos="0"/>
        </w:tabs>
        <w:ind w:left="5870" w:hanging="336"/>
      </w:pPr>
      <w:rPr>
        <w:rFonts w:ascii="Symbol" w:hAnsi="Symbol" w:cs="Symbol" w:hint="default"/>
        <w:lang w:val="it-IT" w:eastAsia="en-US" w:bidi="ar-SA"/>
      </w:rPr>
    </w:lvl>
    <w:lvl w:ilvl="8">
      <w:start w:val="0"/>
      <w:numFmt w:val="bullet"/>
      <w:lvlText w:val=""/>
      <w:lvlJc w:val="left"/>
      <w:pPr>
        <w:tabs>
          <w:tab w:val="num" w:pos="0"/>
        </w:tabs>
        <w:ind w:left="7546" w:hanging="336"/>
      </w:pPr>
      <w:rPr>
        <w:rFonts w:ascii="Symbol" w:hAnsi="Symbol" w:cs="Symbol" w:hint="default"/>
        <w:lang w:val="it-IT" w:eastAsia="en-US" w:bidi="ar-SA"/>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96" w:hanging="360"/>
      </w:pPr>
      <w:rPr>
        <w:rFonts w:ascii="Symbol" w:hAnsi="Symbol" w:cs="Symbol" w:hint="default"/>
      </w:rPr>
    </w:lvl>
    <w:lvl w:ilvl="1">
      <w:start w:val="1"/>
      <w:numFmt w:val="bullet"/>
      <w:lvlText w:val="o"/>
      <w:lvlJc w:val="left"/>
      <w:pPr>
        <w:tabs>
          <w:tab w:val="num" w:pos="0"/>
        </w:tabs>
        <w:ind w:left="1516" w:hanging="360"/>
      </w:pPr>
      <w:rPr>
        <w:rFonts w:ascii="Courier New" w:hAnsi="Courier New" w:cs="Courier New" w:hint="default"/>
      </w:rPr>
    </w:lvl>
    <w:lvl w:ilvl="2">
      <w:start w:val="1"/>
      <w:numFmt w:val="bullet"/>
      <w:lvlText w:val=""/>
      <w:lvlJc w:val="left"/>
      <w:pPr>
        <w:tabs>
          <w:tab w:val="num" w:pos="0"/>
        </w:tabs>
        <w:ind w:left="2236" w:hanging="360"/>
      </w:pPr>
      <w:rPr>
        <w:rFonts w:ascii="Wingdings" w:hAnsi="Wingdings" w:cs="Wingdings" w:hint="default"/>
      </w:rPr>
    </w:lvl>
    <w:lvl w:ilvl="3">
      <w:start w:val="1"/>
      <w:numFmt w:val="bullet"/>
      <w:lvlText w:val=""/>
      <w:lvlJc w:val="left"/>
      <w:pPr>
        <w:tabs>
          <w:tab w:val="num" w:pos="0"/>
        </w:tabs>
        <w:ind w:left="2956" w:hanging="360"/>
      </w:pPr>
      <w:rPr>
        <w:rFonts w:ascii="Symbol" w:hAnsi="Symbol" w:cs="Symbol" w:hint="default"/>
      </w:rPr>
    </w:lvl>
    <w:lvl w:ilvl="4">
      <w:start w:val="1"/>
      <w:numFmt w:val="bullet"/>
      <w:lvlText w:val="o"/>
      <w:lvlJc w:val="left"/>
      <w:pPr>
        <w:tabs>
          <w:tab w:val="num" w:pos="0"/>
        </w:tabs>
        <w:ind w:left="3676" w:hanging="360"/>
      </w:pPr>
      <w:rPr>
        <w:rFonts w:ascii="Courier New" w:hAnsi="Courier New" w:cs="Courier New" w:hint="default"/>
      </w:rPr>
    </w:lvl>
    <w:lvl w:ilvl="5">
      <w:start w:val="1"/>
      <w:numFmt w:val="bullet"/>
      <w:lvlText w:val=""/>
      <w:lvlJc w:val="left"/>
      <w:pPr>
        <w:tabs>
          <w:tab w:val="num" w:pos="0"/>
        </w:tabs>
        <w:ind w:left="4396" w:hanging="360"/>
      </w:pPr>
      <w:rPr>
        <w:rFonts w:ascii="Wingdings" w:hAnsi="Wingdings" w:cs="Wingdings" w:hint="default"/>
      </w:rPr>
    </w:lvl>
    <w:lvl w:ilvl="6">
      <w:start w:val="1"/>
      <w:numFmt w:val="bullet"/>
      <w:lvlText w:val=""/>
      <w:lvlJc w:val="left"/>
      <w:pPr>
        <w:tabs>
          <w:tab w:val="num" w:pos="0"/>
        </w:tabs>
        <w:ind w:left="5116" w:hanging="360"/>
      </w:pPr>
      <w:rPr>
        <w:rFonts w:ascii="Symbol" w:hAnsi="Symbol" w:cs="Symbol" w:hint="default"/>
      </w:rPr>
    </w:lvl>
    <w:lvl w:ilvl="7">
      <w:start w:val="1"/>
      <w:numFmt w:val="bullet"/>
      <w:lvlText w:val="o"/>
      <w:lvlJc w:val="left"/>
      <w:pPr>
        <w:tabs>
          <w:tab w:val="num" w:pos="0"/>
        </w:tabs>
        <w:ind w:left="5836" w:hanging="360"/>
      </w:pPr>
      <w:rPr>
        <w:rFonts w:ascii="Courier New" w:hAnsi="Courier New" w:cs="Courier New" w:hint="default"/>
      </w:rPr>
    </w:lvl>
    <w:lvl w:ilvl="8">
      <w:start w:val="1"/>
      <w:numFmt w:val="bullet"/>
      <w:lvlText w:val=""/>
      <w:lvlJc w:val="left"/>
      <w:pPr>
        <w:tabs>
          <w:tab w:val="num" w:pos="0"/>
        </w:tabs>
        <w:ind w:left="6556"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1" w:semiHidden="0"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pPr>
      <w:widowControl w:val="false"/>
      <w:suppressAutoHyphens w:val="true"/>
      <w:bidi w:val="0"/>
      <w:spacing w:before="0" w:after="0"/>
      <w:jc w:val="left"/>
    </w:pPr>
    <w:rPr>
      <w:rFonts w:ascii="Calibri" w:hAnsi="Calibri" w:eastAsia="Calibri" w:cs="Calibri" w:asciiTheme="minorHAnsi" w:eastAsiaTheme="minorHAnsi" w:hAnsiTheme="minorHAnsi"/>
      <w:color w:val="auto"/>
      <w:kern w:val="0"/>
      <w:sz w:val="22"/>
      <w:szCs w:val="22"/>
      <w:lang w:val="it-IT" w:eastAsia="en-US" w:bidi="ar-SA"/>
    </w:rPr>
  </w:style>
  <w:style w:type="paragraph" w:styleId="Heading1">
    <w:name w:val="Heading 1"/>
    <w:basedOn w:val="Normal"/>
    <w:link w:val="Titolo1Carattere"/>
    <w:uiPriority w:val="1"/>
    <w:qFormat/>
    <w:pPr>
      <w:ind w:left="731" w:hanging="455"/>
      <w:outlineLvl w:val="0"/>
    </w:pPr>
    <w:rPr>
      <w:rFonts w:ascii="Cambria" w:hAnsi="Cambria" w:eastAsia="Cambria" w:cs="Cambria"/>
      <w:b/>
      <w:bCs/>
      <w:sz w:val="32"/>
      <w:szCs w:val="32"/>
    </w:rPr>
  </w:style>
  <w:style w:type="paragraph" w:styleId="Heading2">
    <w:name w:val="Heading 2"/>
    <w:basedOn w:val="Normal"/>
    <w:link w:val="Titolo2Carattere"/>
    <w:uiPriority w:val="1"/>
    <w:qFormat/>
    <w:pPr>
      <w:spacing w:lineRule="exact" w:line="341"/>
      <w:ind w:left="119" w:hanging="0"/>
      <w:outlineLvl w:val="1"/>
    </w:pPr>
    <w:rPr>
      <w:b/>
      <w:bCs/>
      <w:sz w:val="28"/>
      <w:szCs w:val="28"/>
    </w:rPr>
  </w:style>
  <w:style w:type="paragraph" w:styleId="Heading3">
    <w:name w:val="Heading 3"/>
    <w:basedOn w:val="Normal"/>
    <w:link w:val="Titolo3Carattere"/>
    <w:uiPriority w:val="1"/>
    <w:qFormat/>
    <w:pPr>
      <w:spacing w:before="40" w:after="0"/>
      <w:ind w:left="119" w:right="304" w:hanging="1"/>
      <w:outlineLvl w:val="2"/>
    </w:pPr>
    <w:rPr>
      <w:sz w:val="24"/>
      <w:szCs w:val="24"/>
    </w:rPr>
  </w:style>
  <w:style w:type="paragraph" w:styleId="Heading4">
    <w:name w:val="Heading 4"/>
    <w:basedOn w:val="Normal"/>
    <w:link w:val="Titolo4Carattere"/>
    <w:uiPriority w:val="1"/>
    <w:qFormat/>
    <w:pPr>
      <w:ind w:left="820" w:hanging="430"/>
      <w:outlineLvl w:val="3"/>
    </w:pPr>
    <w:rPr>
      <w:b/>
      <w:bCs/>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uiPriority w:val="99"/>
    <w:semiHidden/>
    <w:qFormat/>
    <w:rsid w:val="00443f88"/>
    <w:rPr>
      <w:rFonts w:ascii="Tahoma" w:hAnsi="Tahoma" w:eastAsia="Calibri" w:cs="Tahoma"/>
      <w:sz w:val="16"/>
      <w:szCs w:val="16"/>
      <w:lang w:val="it-IT"/>
    </w:rPr>
  </w:style>
  <w:style w:type="character" w:styleId="PidipaginaCarattere" w:customStyle="1">
    <w:name w:val="Piè di pagina Carattere"/>
    <w:basedOn w:val="DefaultParagraphFont"/>
    <w:uiPriority w:val="99"/>
    <w:qFormat/>
    <w:rsid w:val="00362b1b"/>
    <w:rPr>
      <w:rFonts w:ascii="Times New Roman" w:hAnsi="Times New Roman" w:eastAsia="Times New Roman" w:cs="Times New Roman"/>
      <w:sz w:val="20"/>
      <w:szCs w:val="20"/>
      <w:lang w:val="it-IT" w:eastAsia="it-IT"/>
    </w:rPr>
  </w:style>
  <w:style w:type="character" w:styleId="FontStyle51" w:customStyle="1">
    <w:name w:val="Font Style51"/>
    <w:uiPriority w:val="99"/>
    <w:qFormat/>
    <w:rsid w:val="00362b1b"/>
    <w:rPr>
      <w:rFonts w:ascii="Arial Unicode MS" w:hAnsi="Arial Unicode MS" w:eastAsia="Arial Unicode MS" w:cs="Arial Unicode MS"/>
      <w:sz w:val="20"/>
      <w:szCs w:val="20"/>
    </w:rPr>
  </w:style>
  <w:style w:type="character" w:styleId="FontStyle52" w:customStyle="1">
    <w:name w:val="Font Style52"/>
    <w:uiPriority w:val="99"/>
    <w:qFormat/>
    <w:rsid w:val="00362b1b"/>
    <w:rPr>
      <w:rFonts w:ascii="Arial Unicode MS" w:hAnsi="Arial Unicode MS" w:eastAsia="Arial Unicode MS" w:cs="Arial Unicode MS"/>
      <w:b/>
      <w:bCs/>
      <w:sz w:val="20"/>
      <w:szCs w:val="20"/>
    </w:rPr>
  </w:style>
  <w:style w:type="character" w:styleId="FontStyle37" w:customStyle="1">
    <w:name w:val="Font Style37"/>
    <w:uiPriority w:val="99"/>
    <w:qFormat/>
    <w:rsid w:val="00362b1b"/>
    <w:rPr>
      <w:rFonts w:ascii="Calibri" w:hAnsi="Calibri" w:cs="Calibri"/>
      <w:sz w:val="22"/>
      <w:szCs w:val="22"/>
    </w:rPr>
  </w:style>
  <w:style w:type="character" w:styleId="InternetLink">
    <w:name w:val="Hyperlink"/>
    <w:basedOn w:val="DefaultParagraphFont"/>
    <w:uiPriority w:val="99"/>
    <w:semiHidden/>
    <w:unhideWhenUsed/>
    <w:rsid w:val="00156018"/>
    <w:rPr>
      <w:color w:val="0000FF" w:themeColor="hyperlink"/>
      <w:u w:val="single"/>
    </w:rPr>
  </w:style>
  <w:style w:type="character" w:styleId="Titolo1Carattere" w:customStyle="1">
    <w:name w:val="Titolo 1 Carattere"/>
    <w:basedOn w:val="DefaultParagraphFont"/>
    <w:uiPriority w:val="1"/>
    <w:qFormat/>
    <w:rsid w:val="003076c2"/>
    <w:rPr>
      <w:rFonts w:ascii="Cambria" w:hAnsi="Cambria" w:eastAsia="Cambria" w:cs="Cambria"/>
      <w:b/>
      <w:bCs/>
      <w:sz w:val="32"/>
      <w:szCs w:val="32"/>
      <w:lang w:val="it-IT"/>
    </w:rPr>
  </w:style>
  <w:style w:type="character" w:styleId="Titolo2Carattere" w:customStyle="1">
    <w:name w:val="Titolo 2 Carattere"/>
    <w:basedOn w:val="DefaultParagraphFont"/>
    <w:uiPriority w:val="1"/>
    <w:qFormat/>
    <w:rsid w:val="003076c2"/>
    <w:rPr>
      <w:rFonts w:ascii="Calibri" w:hAnsi="Calibri" w:eastAsia="Calibri" w:cs="Calibri"/>
      <w:b/>
      <w:bCs/>
      <w:sz w:val="28"/>
      <w:szCs w:val="28"/>
      <w:lang w:val="it-IT"/>
    </w:rPr>
  </w:style>
  <w:style w:type="character" w:styleId="Titolo3Carattere" w:customStyle="1">
    <w:name w:val="Titolo 3 Carattere"/>
    <w:basedOn w:val="DefaultParagraphFont"/>
    <w:uiPriority w:val="1"/>
    <w:qFormat/>
    <w:rsid w:val="003076c2"/>
    <w:rPr>
      <w:rFonts w:ascii="Calibri" w:hAnsi="Calibri" w:eastAsia="Calibri" w:cs="Calibri"/>
      <w:sz w:val="24"/>
      <w:szCs w:val="24"/>
      <w:lang w:val="it-IT"/>
    </w:rPr>
  </w:style>
  <w:style w:type="character" w:styleId="Titolo4Carattere" w:customStyle="1">
    <w:name w:val="Titolo 4 Carattere"/>
    <w:basedOn w:val="DefaultParagraphFont"/>
    <w:uiPriority w:val="1"/>
    <w:qFormat/>
    <w:rsid w:val="003076c2"/>
    <w:rPr>
      <w:rFonts w:ascii="Calibri" w:hAnsi="Calibri" w:eastAsia="Calibri" w:cs="Calibri"/>
      <w:b/>
      <w:bCs/>
      <w:lang w:val="it-IT"/>
    </w:rPr>
  </w:style>
  <w:style w:type="character" w:styleId="CorpotestoCarattere" w:customStyle="1">
    <w:name w:val="Corpo testo Carattere"/>
    <w:basedOn w:val="DefaultParagraphFont"/>
    <w:uiPriority w:val="1"/>
    <w:qFormat/>
    <w:rsid w:val="003076c2"/>
    <w:rPr>
      <w:rFonts w:ascii="Calibri" w:hAnsi="Calibri" w:eastAsia="Calibri" w:cs="Calibri"/>
      <w:lang w:val="it-IT"/>
    </w:rPr>
  </w:style>
  <w:style w:type="character" w:styleId="IntestazioneCarattere" w:customStyle="1">
    <w:name w:val="Intestazione Carattere"/>
    <w:basedOn w:val="DefaultParagraphFont"/>
    <w:uiPriority w:val="99"/>
    <w:qFormat/>
    <w:rsid w:val="00132b0d"/>
    <w:rPr>
      <w:rFonts w:ascii="Calibri" w:hAnsi="Calibri" w:eastAsia="Calibri" w:cs="Calibri"/>
      <w:lang w:val="it-IT"/>
    </w:rPr>
  </w:style>
  <w:style w:type="character" w:styleId="VisitedInternetLink">
    <w:name w:val="FollowedHyperlink"/>
    <w:basedOn w:val="DefaultParagraphFont"/>
    <w:uiPriority w:val="99"/>
    <w:semiHidden/>
    <w:unhideWhenUsed/>
    <w:rsid w:val="00156018"/>
    <w:rPr>
      <w:color w:val="800080" w:themeColor="followedHyperlink"/>
      <w:u w:val="single"/>
    </w:rPr>
  </w:style>
  <w:style w:type="character" w:styleId="TestocommentoCarattere">
    <w:name w:val="Testo commento Carattere"/>
    <w:qFormat/>
    <w:rPr>
      <w:rFonts w:ascii="Microsoft Sans Serif" w:hAnsi="Microsoft Sans Serif" w:eastAsia="Microsoft Sans Serif" w:cs="Microsoft Sans Serif"/>
      <w:sz w:val="20"/>
      <w:szCs w:val="20"/>
    </w:rPr>
  </w:style>
  <w:style w:type="character" w:styleId="Annotationreference">
    <w:name w:val="annotation reference"/>
    <w:qFormat/>
    <w:rPr>
      <w:sz w:val="16"/>
      <w:szCs w:val="16"/>
    </w:rPr>
  </w:style>
  <w:style w:type="character" w:styleId="Rientrocorpodeltesto2Carattere">
    <w:name w:val="Rientro corpo del testo 2 Carattere"/>
    <w:qFormat/>
    <w:rPr>
      <w:rFonts w:ascii="Microsoft Sans Serif" w:hAnsi="Microsoft Sans Serif" w:eastAsia="Microsoft Sans Serif" w:cs="Microsoft Sans Serif"/>
    </w:rPr>
  </w:style>
  <w:style w:type="character" w:styleId="FontStyle41">
    <w:name w:val="Font Style41"/>
    <w:qFormat/>
    <w:rPr>
      <w:rFonts w:ascii="Arial" w:hAnsi="Arial" w:cs="Arial"/>
      <w:sz w:val="22"/>
      <w:szCs w:val="22"/>
    </w:rPr>
  </w:style>
  <w:style w:type="character" w:styleId="Corpodeltesto3Carattere">
    <w:name w:val="Corpo del testo 3 Carattere"/>
    <w:qFormat/>
    <w:rPr>
      <w:rFonts w:ascii="Microsoft Sans Serif" w:hAnsi="Microsoft Sans Serif" w:eastAsia="Microsoft Sans Serif" w:cs="Microsoft Sans Serif"/>
      <w:sz w:val="16"/>
      <w:szCs w:val="16"/>
    </w:rPr>
  </w:style>
  <w:style w:type="character" w:styleId="Bullets">
    <w:name w:val="Bullets"/>
    <w:qFormat/>
    <w:rPr>
      <w:rFonts w:ascii="OpenSymbol" w:hAnsi="OpenSymbol" w:eastAsia="OpenSymbol" w:cs="OpenSymbol"/>
    </w:rPr>
  </w:style>
  <w:style w:type="character" w:styleId="Rimandocommento1">
    <w:name w:val="Rimando commento1"/>
    <w:qFormat/>
    <w:rPr>
      <w:sz w:val="16"/>
      <w:szCs w:val="16"/>
    </w:rPr>
  </w:style>
  <w:style w:type="character" w:styleId="Punti">
    <w:name w:val="Punti"/>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CorpotestoCarattere"/>
    <w:uiPriority w:val="1"/>
    <w:qFormat/>
    <w:pPr/>
    <w:rPr/>
  </w:style>
  <w:style w:type="paragraph" w:styleId="List">
    <w:name w:val="List"/>
    <w:basedOn w:val="TextBody"/>
    <w:semiHidden/>
    <w:unhideWhenUsed/>
    <w:rsid w:val="00f85cfb"/>
    <w:pPr>
      <w:widowControl/>
      <w:spacing w:before="0" w:after="120"/>
    </w:pPr>
    <w:rPr>
      <w:rFonts w:ascii="Times New Roman" w:hAnsi="Times New Roman" w:eastAsia="SimSun" w:cs="Mangal"/>
      <w:sz w:val="24"/>
      <w:szCs w:val="24"/>
      <w:lang w:eastAsia="zh-CN" w:bidi="hi-IN"/>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olo">
    <w:name w:val="Titolo"/>
    <w:basedOn w:val="Normal"/>
    <w:next w:val="TextBody"/>
    <w:qFormat/>
    <w:pPr>
      <w:keepNext w:val="true"/>
      <w:spacing w:before="240" w:after="120"/>
    </w:pPr>
    <w:rPr>
      <w:rFonts w:ascii="Liberation Sans" w:hAnsi="Liberation Sans" w:eastAsia="Microsoft YaHei" w:cs="Arial"/>
      <w:sz w:val="28"/>
      <w:szCs w:val="28"/>
    </w:rPr>
  </w:style>
  <w:style w:type="paragraph" w:styleId="Indice">
    <w:name w:val="Indice"/>
    <w:basedOn w:val="Normal"/>
    <w:qFormat/>
    <w:pPr>
      <w:suppressLineNumbers/>
    </w:pPr>
    <w:rPr>
      <w:rFonts w:cs="Arial"/>
      <w:lang w:val="zxx" w:eastAsia="zxx" w:bidi="zxx"/>
    </w:rPr>
  </w:style>
  <w:style w:type="paragraph" w:styleId="Contents1">
    <w:name w:val="TOC 1"/>
    <w:basedOn w:val="Normal"/>
    <w:uiPriority w:val="39"/>
    <w:qFormat/>
    <w:pPr>
      <w:spacing w:before="240" w:after="0"/>
      <w:ind w:left="559" w:hanging="283"/>
    </w:pPr>
    <w:rPr/>
  </w:style>
  <w:style w:type="paragraph" w:styleId="Contents2">
    <w:name w:val="TOC 2"/>
    <w:basedOn w:val="Normal"/>
    <w:uiPriority w:val="39"/>
    <w:qFormat/>
    <w:pPr>
      <w:ind w:left="558" w:hanging="0"/>
    </w:pPr>
    <w:rPr/>
  </w:style>
  <w:style w:type="paragraph" w:styleId="ListParagraph">
    <w:name w:val="List Paragraph"/>
    <w:basedOn w:val="Normal"/>
    <w:uiPriority w:val="1"/>
    <w:qFormat/>
    <w:pPr>
      <w:ind w:left="676" w:hanging="286"/>
    </w:pPr>
    <w:rPr/>
  </w:style>
  <w:style w:type="paragraph" w:styleId="TableParagraph" w:customStyle="1">
    <w:name w:val="Table Paragraph"/>
    <w:basedOn w:val="Normal"/>
    <w:uiPriority w:val="1"/>
    <w:qFormat/>
    <w:pPr/>
    <w:rPr/>
  </w:style>
  <w:style w:type="paragraph" w:styleId="BalloonText">
    <w:name w:val="Balloon Text"/>
    <w:basedOn w:val="Normal"/>
    <w:link w:val="TestofumettoCarattere"/>
    <w:uiPriority w:val="99"/>
    <w:semiHidden/>
    <w:unhideWhenUsed/>
    <w:qFormat/>
    <w:rsid w:val="00443f88"/>
    <w:pPr/>
    <w:rPr>
      <w:rFonts w:ascii="Tahoma" w:hAnsi="Tahoma" w:cs="Tahoma"/>
      <w:sz w:val="16"/>
      <w:szCs w:val="16"/>
    </w:rPr>
  </w:style>
  <w:style w:type="paragraph" w:styleId="Intestazioneepidipagina">
    <w:name w:val="Intestazione e piè di pagina"/>
    <w:basedOn w:val="Normal"/>
    <w:qFormat/>
    <w:pPr/>
    <w:rPr/>
  </w:style>
  <w:style w:type="paragraph" w:styleId="HeaderandFooter">
    <w:name w:val="Header and Footer"/>
    <w:basedOn w:val="Normal"/>
    <w:qFormat/>
    <w:pPr/>
    <w:rPr/>
  </w:style>
  <w:style w:type="paragraph" w:styleId="Footer">
    <w:name w:val="Footer"/>
    <w:basedOn w:val="Normal"/>
    <w:link w:val="PidipaginaCarattere"/>
    <w:uiPriority w:val="99"/>
    <w:unhideWhenUsed/>
    <w:rsid w:val="00362b1b"/>
    <w:pPr>
      <w:widowControl/>
      <w:tabs>
        <w:tab w:val="clear" w:pos="720"/>
        <w:tab w:val="center" w:pos="4819" w:leader="none"/>
        <w:tab w:val="right" w:pos="9638" w:leader="none"/>
      </w:tabs>
    </w:pPr>
    <w:rPr>
      <w:rFonts w:ascii="Times New Roman" w:hAnsi="Times New Roman" w:eastAsia="Times New Roman" w:cs="Times New Roman"/>
      <w:sz w:val="20"/>
      <w:szCs w:val="20"/>
      <w:lang w:eastAsia="it-IT"/>
    </w:rPr>
  </w:style>
  <w:style w:type="paragraph" w:styleId="Corpodeltesto21" w:customStyle="1">
    <w:name w:val="Corpo del testo 21"/>
    <w:basedOn w:val="Normal"/>
    <w:qFormat/>
    <w:rsid w:val="00362b1b"/>
    <w:pPr>
      <w:widowControl/>
      <w:suppressAutoHyphens w:val="true"/>
      <w:jc w:val="both"/>
    </w:pPr>
    <w:rPr>
      <w:rFonts w:ascii="Times New Roman" w:hAnsi="Times New Roman" w:eastAsia="Times New Roman" w:cs="Times New Roman"/>
      <w:sz w:val="24"/>
      <w:szCs w:val="24"/>
      <w:lang w:eastAsia="ar-SA"/>
    </w:rPr>
  </w:style>
  <w:style w:type="paragraph" w:styleId="Style21" w:customStyle="1">
    <w:name w:val="Style2"/>
    <w:basedOn w:val="Normal"/>
    <w:uiPriority w:val="99"/>
    <w:qFormat/>
    <w:rsid w:val="00362b1b"/>
    <w:pPr>
      <w:spacing w:lineRule="exact" w:line="274"/>
      <w:jc w:val="both"/>
    </w:pPr>
    <w:rPr>
      <w:rFonts w:ascii="Arial Unicode MS" w:hAnsi="Arial Unicode MS" w:eastAsia="Arial Unicode MS" w:cs="Arial Unicode MS"/>
      <w:sz w:val="24"/>
      <w:szCs w:val="24"/>
      <w:lang w:eastAsia="zh-TW"/>
    </w:rPr>
  </w:style>
  <w:style w:type="paragraph" w:styleId="Style91" w:customStyle="1">
    <w:name w:val="Style9"/>
    <w:basedOn w:val="Normal"/>
    <w:uiPriority w:val="99"/>
    <w:qFormat/>
    <w:rsid w:val="00362b1b"/>
    <w:pPr>
      <w:spacing w:lineRule="exact" w:line="278"/>
      <w:jc w:val="right"/>
    </w:pPr>
    <w:rPr>
      <w:rFonts w:ascii="Arial Unicode MS" w:hAnsi="Arial Unicode MS" w:eastAsia="Arial Unicode MS" w:cs="Arial Unicode MS"/>
      <w:sz w:val="24"/>
      <w:szCs w:val="24"/>
      <w:lang w:eastAsia="zh-TW"/>
    </w:rPr>
  </w:style>
  <w:style w:type="paragraph" w:styleId="Style22" w:customStyle="1">
    <w:name w:val="Style22"/>
    <w:basedOn w:val="Normal"/>
    <w:uiPriority w:val="99"/>
    <w:qFormat/>
    <w:rsid w:val="00362b1b"/>
    <w:pPr>
      <w:jc w:val="center"/>
    </w:pPr>
    <w:rPr>
      <w:rFonts w:ascii="Arial Unicode MS" w:hAnsi="Arial Unicode MS" w:eastAsia="Arial Unicode MS" w:cs="Arial Unicode MS"/>
      <w:sz w:val="24"/>
      <w:szCs w:val="24"/>
      <w:lang w:eastAsia="zh-TW"/>
    </w:rPr>
  </w:style>
  <w:style w:type="paragraph" w:styleId="Style37" w:customStyle="1">
    <w:name w:val="Style37"/>
    <w:basedOn w:val="Normal"/>
    <w:uiPriority w:val="99"/>
    <w:qFormat/>
    <w:rsid w:val="00362b1b"/>
    <w:pPr>
      <w:spacing w:lineRule="exact" w:line="552"/>
      <w:jc w:val="both"/>
    </w:pPr>
    <w:rPr>
      <w:rFonts w:ascii="Arial Unicode MS" w:hAnsi="Arial Unicode MS" w:eastAsia="Arial Unicode MS" w:cs="Arial Unicode MS"/>
      <w:sz w:val="24"/>
      <w:szCs w:val="24"/>
      <w:lang w:eastAsia="zh-TW"/>
    </w:rPr>
  </w:style>
  <w:style w:type="paragraph" w:styleId="Default" w:customStyle="1">
    <w:name w:val="Default"/>
    <w:qFormat/>
    <w:rsid w:val="00f85cfb"/>
    <w:pPr>
      <w:widowControl w:val="false"/>
      <w:suppressAutoHyphens w:val="true"/>
      <w:bidi w:val="0"/>
      <w:spacing w:before="0" w:after="0"/>
      <w:jc w:val="left"/>
    </w:pPr>
    <w:rPr>
      <w:rFonts w:ascii="Times New Roman" w:hAnsi="Times New Roman" w:eastAsia="SimSun;Arial Unicode MS" w:cs="Mangal"/>
      <w:color w:val="000000"/>
      <w:kern w:val="0"/>
      <w:sz w:val="24"/>
      <w:szCs w:val="24"/>
      <w:lang w:val="it-IT" w:eastAsia="zh-CN" w:bidi="hi-IN"/>
    </w:rPr>
  </w:style>
  <w:style w:type="paragraph" w:styleId="Testo10modulistica" w:customStyle="1">
    <w:name w:val="Testo 10 modulistica"/>
    <w:basedOn w:val="Normal"/>
    <w:qFormat/>
    <w:rsid w:val="00f85cfb"/>
    <w:pPr>
      <w:widowControl/>
      <w:spacing w:lineRule="atLeast" w:line="288"/>
      <w:ind w:firstLine="360"/>
      <w:jc w:val="both"/>
    </w:pPr>
    <w:rPr>
      <w:rFonts w:ascii="NewAster;Times New Roman" w:hAnsi="NewAster;Times New Roman" w:eastAsia="Lucida Sans Unicode" w:cs="NewAster;Times New Roman"/>
      <w:color w:val="000000"/>
      <w:sz w:val="20"/>
      <w:szCs w:val="20"/>
      <w:lang w:eastAsia="zh-CN" w:bidi="hi-IN"/>
    </w:rPr>
  </w:style>
  <w:style w:type="paragraph" w:styleId="Header">
    <w:name w:val="Header"/>
    <w:basedOn w:val="Normal"/>
    <w:link w:val="IntestazioneCarattere"/>
    <w:uiPriority w:val="99"/>
    <w:unhideWhenUsed/>
    <w:rsid w:val="00132b0d"/>
    <w:pPr>
      <w:tabs>
        <w:tab w:val="clear" w:pos="720"/>
        <w:tab w:val="center" w:pos="4819" w:leader="none"/>
        <w:tab w:val="right" w:pos="9638" w:leader="none"/>
      </w:tabs>
    </w:pPr>
    <w:rPr/>
  </w:style>
  <w:style w:type="paragraph" w:styleId="Annotationtext">
    <w:name w:val="annotation text"/>
    <w:basedOn w:val="Normal"/>
    <w:qFormat/>
    <w:pPr/>
    <w:rPr>
      <w:sz w:val="20"/>
      <w:szCs w:val="20"/>
    </w:rPr>
  </w:style>
  <w:style w:type="paragraph" w:styleId="BodyTextIndent2">
    <w:name w:val="Body Text Indent 2"/>
    <w:basedOn w:val="Normal"/>
    <w:qFormat/>
    <w:pPr>
      <w:spacing w:lineRule="auto" w:line="480" w:before="0" w:after="120"/>
      <w:ind w:left="283" w:hanging="0"/>
    </w:pPr>
    <w:rPr/>
  </w:style>
  <w:style w:type="paragraph" w:styleId="Style17">
    <w:name w:val="Style17"/>
    <w:basedOn w:val="Normal"/>
    <w:qFormat/>
    <w:pPr>
      <w:spacing w:lineRule="exact" w:line="274"/>
      <w:jc w:val="both"/>
    </w:pPr>
    <w:rPr>
      <w:rFonts w:ascii="Arial" w:hAnsi="Arial" w:eastAsia="Times New Roman"/>
      <w:lang w:eastAsia="it-IT"/>
    </w:rPr>
  </w:style>
  <w:style w:type="paragraph" w:styleId="Stile1">
    <w:name w:val="Stile1"/>
    <w:basedOn w:val="Normal"/>
    <w:qFormat/>
    <w:pPr>
      <w:widowControl/>
      <w:spacing w:before="0" w:after="240"/>
      <w:ind w:firstLine="1418"/>
      <w:jc w:val="both"/>
    </w:pPr>
    <w:rPr>
      <w:rFonts w:ascii="Arial" w:hAnsi="Arial" w:eastAsia="Times New Roman"/>
      <w:lang w:eastAsia="it-IT"/>
    </w:rPr>
  </w:style>
  <w:style w:type="paragraph" w:styleId="BodyText3">
    <w:name w:val="Body Text 3"/>
    <w:basedOn w:val="Normal"/>
    <w:qFormat/>
    <w:pPr>
      <w:spacing w:before="0" w:after="120"/>
    </w:pPr>
    <w:rPr>
      <w:sz w:val="16"/>
      <w:szCs w:val="16"/>
    </w:rPr>
  </w:style>
  <w:style w:type="paragraph" w:styleId="Contenutotabella">
    <w:name w:val="Contenuto tabella"/>
    <w:basedOn w:val="Normal"/>
    <w:qFormat/>
    <w:pPr>
      <w:widowControl w:val="false"/>
      <w:suppressLineNumbers/>
    </w:pPr>
    <w:rPr/>
  </w:style>
  <w:style w:type="paragraph" w:styleId="Titolotabella">
    <w:name w:val="Titolo tabella"/>
    <w:basedOn w:val="Contenutotabella"/>
    <w:qFormat/>
    <w:pPr>
      <w:suppressLineNumbers/>
      <w:jc w:val="center"/>
    </w:pPr>
    <w:rPr>
      <w:b/>
      <w:bCs/>
    </w:rPr>
  </w:style>
  <w:style w:type="paragraph" w:styleId="TableContents">
    <w:name w:val="Table Contents"/>
    <w:basedOn w:val="Normal"/>
    <w:qFormat/>
    <w:pPr>
      <w:widowControl w:val="false"/>
      <w:suppressLineNumbers/>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Grigliatabella">
    <w:name w:val="Table Grid"/>
    <w:basedOn w:val="Tabellanormale"/>
    <w:uiPriority w:val="59"/>
    <w:rsid w:val="00f85cfb"/>
    <w:rPr>
      <w:lang w:val="it-IT" w:eastAsia="zh-CN" w:bidi="hi-I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ncaditalia.it/compiti/vigilanza/intermediari/index.html" TargetMode="External"/><Relationship Id="rId3" Type="http://schemas.openxmlformats.org/officeDocument/2006/relationships/hyperlink" Target="http://www.bancaditalia.it/compiti/vigilanza/avvisi-pub/garanzie-finanziarie/" TargetMode="External"/><Relationship Id="rId4" Type="http://schemas.openxmlformats.org/officeDocument/2006/relationships/hyperlink" Target="http://www.ivass.it/ivass/imprese_jsp/HomePage.js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C3AAB-EAD1-406F-A8AC-EC0B9C9F3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Application>LibreOffice/7.4.6.2$Windows_X86_64 LibreOffice_project/5b1f5509c2decdade7fda905e3e1429a67acd63d</Application>
  <AppVersion>15.0000</AppVersion>
  <Pages>25</Pages>
  <Words>10632</Words>
  <Characters>64767</Characters>
  <CharactersWithSpaces>75631</CharactersWithSpaces>
  <Paragraphs>515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dc:creator>
  <dc:description/>
  <dc:language>it-IT</dc:language>
  <cp:lastModifiedBy/>
  <dcterms:modified xsi:type="dcterms:W3CDTF">2025-06-27T10:11:19Z</dcterms:modified>
  <cp:revision>87</cp:revision>
  <dc:subject/>
  <dc:title>01_Disciplinare_</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2021-04-12T00:00:00Z</vt:filetime>
  </property>
  <property fmtid="{D5CDD505-2E9C-101B-9397-08002B2CF9AE}" pid="3" name="Creator">
    <vt:lpwstr>PDFCreator Free 4.2.0</vt:lpwstr>
  </property>
  <property fmtid="{D5CDD505-2E9C-101B-9397-08002B2CF9AE}" pid="4" name="LastSaved">
    <vt:filetime>2021-12-16T00:00:00Z</vt:filetime>
  </property>
</Properties>
</file>